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9CCE1" w14:textId="77777777" w:rsidR="00D637D5" w:rsidRDefault="00353E2D" w:rsidP="00D637D5">
      <w:pPr>
        <w:pStyle w:val="1Header"/>
        <w:sectPr w:rsidR="00D637D5" w:rsidSect="00FA59F8">
          <w:headerReference w:type="default" r:id="rId7"/>
          <w:type w:val="continuous"/>
          <w:pgSz w:w="12240" w:h="15840"/>
          <w:pgMar w:top="936" w:right="720" w:bottom="1440" w:left="3370" w:header="0" w:footer="720" w:gutter="0"/>
          <w:cols w:space="245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7C34EA15" wp14:editId="15052CA1">
            <wp:simplePos x="0" y="0"/>
            <wp:positionH relativeFrom="margin">
              <wp:posOffset>3175000</wp:posOffset>
            </wp:positionH>
            <wp:positionV relativeFrom="margin">
              <wp:posOffset>8128000</wp:posOffset>
            </wp:positionV>
            <wp:extent cx="1645923" cy="1120142"/>
            <wp:effectExtent l="0" t="0" r="0" b="0"/>
            <wp:wrapNone/>
            <wp:docPr id="100009" name="Picture 100009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9106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Temporary </w:t>
      </w:r>
      <w:hyperlink r:id="rId9" w:history="1">
        <w:r w:rsidR="00CA4D20">
          <w:t>COVID-19</w:t>
        </w:r>
      </w:hyperlink>
      <w:r w:rsidR="00CA4D20">
        <w:t xml:space="preserve"> Relief for </w:t>
      </w:r>
      <w:r>
        <w:t>Section 125 Plans</w:t>
      </w:r>
    </w:p>
    <w:p w14:paraId="74658A5C" w14:textId="77777777" w:rsidR="00D637D5" w:rsidRDefault="00353E2D" w:rsidP="00D637D5">
      <w:pPr>
        <w:pStyle w:val="Body"/>
      </w:pPr>
      <w:r w:rsidRPr="00CA4D20">
        <w:t xml:space="preserve">On Feb. 18, 2021, the IRS released </w:t>
      </w:r>
      <w:hyperlink r:id="rId10" w:history="1">
        <w:r w:rsidRPr="00CA4D20">
          <w:rPr>
            <w:rStyle w:val="Hyperlink"/>
          </w:rPr>
          <w:t>Notice 2021-15</w:t>
        </w:r>
      </w:hyperlink>
      <w:r w:rsidRPr="00CA4D20">
        <w:t xml:space="preserve"> to clarify special rules for Section 125 plans, health flexible spending arrangements (FSAs) and dependent care assistance programs (DCAPs).</w:t>
      </w:r>
    </w:p>
    <w:p w14:paraId="7679D538" w14:textId="77777777" w:rsidR="00BA7615" w:rsidRPr="00A31CBE" w:rsidRDefault="00353E2D" w:rsidP="00BA7615">
      <w:pPr>
        <w:pStyle w:val="Body"/>
        <w:spacing w:after="0"/>
        <w:rPr>
          <w:rStyle w:val="2HeaderChar"/>
        </w:rPr>
      </w:pPr>
      <w:r>
        <w:rPr>
          <w:rStyle w:val="2HeaderChar"/>
        </w:rPr>
        <w:t>Special Rules for Health FSAs and DCAPs</w:t>
      </w:r>
    </w:p>
    <w:p w14:paraId="3AF5B177" w14:textId="77777777" w:rsidR="00137036" w:rsidRDefault="00353E2D" w:rsidP="00137036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DDFDA" wp14:editId="17D16CFD">
                <wp:simplePos x="0" y="0"/>
                <wp:positionH relativeFrom="margin">
                  <wp:posOffset>-1547176</wp:posOffset>
                </wp:positionH>
                <wp:positionV relativeFrom="page">
                  <wp:posOffset>3609316</wp:posOffset>
                </wp:positionV>
                <wp:extent cx="2010487" cy="487045"/>
                <wp:effectExtent l="0" t="318" r="0" b="8572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10487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27707" w14:textId="77777777" w:rsidR="00A1062C" w:rsidRPr="00467682" w:rsidRDefault="00353E2D" w:rsidP="00A1062C">
                            <w:pPr>
                              <w:pStyle w:val="Header"/>
                              <w:jc w:val="center"/>
                              <w:rPr>
                                <w:b/>
                                <w:color w:val="59A96E"/>
                                <w:sz w:val="36"/>
                                <w:szCs w:val="36"/>
                              </w:rPr>
                            </w:pPr>
                            <w:hyperlink r:id="rId11" w:history="1">
                              <w:r w:rsidRPr="00467682">
                                <w:rPr>
                                  <w:b/>
                                  <w:color w:val="59A96E"/>
                                  <w:sz w:val="36"/>
                                  <w:szCs w:val="36"/>
                                </w:rPr>
                                <w:t>M</w:t>
                              </w:r>
                              <w:r w:rsidR="00CA4D20" w:rsidRPr="00467682">
                                <w:rPr>
                                  <w:b/>
                                  <w:color w:val="59A96E"/>
                                  <w:sz w:val="36"/>
                                  <w:szCs w:val="36"/>
                                </w:rPr>
                                <w:t>ARCH</w:t>
                              </w:r>
                            </w:hyperlink>
                            <w:r w:rsidRPr="00467682">
                              <w:rPr>
                                <w:b/>
                                <w:color w:val="59A96E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CA4D20" w:rsidRPr="00467682">
                              <w:rPr>
                                <w:b/>
                                <w:color w:val="59A96E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DDF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1.8pt;margin-top:284.2pt;width:158.3pt;height:38.3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" filled="f" stroked="f" strokeweight=".5pt">
                <v:textbox inset="0,,0">
                  <w:txbxContent>
                    <w:p w14:paraId="1BD27707" w14:textId="77777777" w:rsidR="00A1062C" w:rsidRPr="00467682" w:rsidRDefault="00353E2D" w:rsidP="00A1062C">
                      <w:pPr>
                        <w:pStyle w:val="Header"/>
                        <w:jc w:val="center"/>
                        <w:rPr>
                          <w:b/>
                          <w:color w:val="59A96E"/>
                          <w:sz w:val="36"/>
                          <w:szCs w:val="36"/>
                        </w:rPr>
                      </w:pPr>
                      <w:hyperlink r:id="rId12" w:history="1">
                        <w:r w:rsidRPr="00467682">
                          <w:rPr>
                            <w:b/>
                            <w:color w:val="59A96E"/>
                            <w:sz w:val="36"/>
                            <w:szCs w:val="36"/>
                          </w:rPr>
                          <w:t>M</w:t>
                        </w:r>
                        <w:r w:rsidR="00CA4D20" w:rsidRPr="00467682">
                          <w:rPr>
                            <w:b/>
                            <w:color w:val="59A96E"/>
                            <w:sz w:val="36"/>
                            <w:szCs w:val="36"/>
                          </w:rPr>
                          <w:t>ARCH</w:t>
                        </w:r>
                      </w:hyperlink>
                      <w:r w:rsidRPr="00467682">
                        <w:rPr>
                          <w:b/>
                          <w:color w:val="59A96E"/>
                          <w:sz w:val="36"/>
                          <w:szCs w:val="36"/>
                        </w:rPr>
                        <w:t xml:space="preserve"> 202</w:t>
                      </w:r>
                      <w:r w:rsidR="00CA4D20" w:rsidRPr="00467682">
                        <w:rPr>
                          <w:b/>
                          <w:color w:val="59A96E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A7615" w:rsidRPr="00BA7615">
        <w:rPr>
          <w:noProof/>
        </w:rPr>
        <w:t xml:space="preserve">The Notice is intended to clarify the application of special rules for health FSAs and DCAPs under the Consolidated Appropriations Act, 2021 (CAA). The CAA provides flexibility </w:t>
      </w:r>
      <w:r w:rsidR="00BB44B7">
        <w:rPr>
          <w:noProof/>
        </w:rPr>
        <w:t>for</w:t>
      </w:r>
      <w:r w:rsidR="00BA7615" w:rsidRPr="00BA7615">
        <w:rPr>
          <w:noProof/>
        </w:rPr>
        <w:t xml:space="preserve"> carryovers of unused amounts, extends the time period for incurring claims, </w:t>
      </w:r>
      <w:r w:rsidR="00BB44B7">
        <w:rPr>
          <w:noProof/>
        </w:rPr>
        <w:t>allow</w:t>
      </w:r>
      <w:r w:rsidR="00BA7615" w:rsidRPr="00BA7615">
        <w:rPr>
          <w:noProof/>
        </w:rPr>
        <w:t>s post-termination reimbursements from health FSAs and provides special rules for dependents who “age out” of DCAP coverage during the COVID-19 public health emergency. The Notice provides details and examples regarding these rules.</w:t>
      </w:r>
    </w:p>
    <w:p w14:paraId="7EA60043" w14:textId="77777777" w:rsidR="00BA7615" w:rsidRPr="00A31CBE" w:rsidRDefault="00353E2D" w:rsidP="00BA7615">
      <w:pPr>
        <w:pStyle w:val="Body"/>
        <w:spacing w:after="0"/>
        <w:rPr>
          <w:rStyle w:val="2HeaderChar"/>
        </w:rPr>
      </w:pPr>
      <w:r>
        <w:rPr>
          <w:rStyle w:val="2HeaderChar"/>
        </w:rPr>
        <w:t>Section 125 Mid-year Election Changes</w:t>
      </w:r>
    </w:p>
    <w:p w14:paraId="416508F8" w14:textId="77777777" w:rsidR="00BB44B7" w:rsidRDefault="00353E2D" w:rsidP="00BA7615">
      <w:pPr>
        <w:pStyle w:val="Body"/>
      </w:pPr>
      <w:r w:rsidRPr="00BA7615">
        <w:t xml:space="preserve">The Notice’s relief for mid-year Section 125 </w:t>
      </w:r>
      <w:r w:rsidR="00D637D5">
        <w:br w:type="column"/>
      </w:r>
      <w:r w:rsidRPr="00BA7615">
        <w:t xml:space="preserve">plan elections for plan years ending in 2021 is similar to </w:t>
      </w:r>
      <w:hyperlink r:id="rId13" w:history="1">
        <w:r w:rsidRPr="00815A41">
          <w:rPr>
            <w:rStyle w:val="Hyperlink"/>
          </w:rPr>
          <w:t>prior guidance</w:t>
        </w:r>
      </w:hyperlink>
      <w:r w:rsidRPr="00BA7615">
        <w:t xml:space="preserve"> for 2020.</w:t>
      </w:r>
      <w:r>
        <w:t xml:space="preserve"> </w:t>
      </w:r>
      <w:r w:rsidR="00815A41" w:rsidRPr="00BA7615">
        <w:t xml:space="preserve">Section 125 plans may </w:t>
      </w:r>
      <w:r>
        <w:t>allow</w:t>
      </w:r>
      <w:r w:rsidR="00815A41" w:rsidRPr="00BA7615">
        <w:t xml:space="preserve"> employees to make or revoke election changes in certain circumstances.</w:t>
      </w:r>
    </w:p>
    <w:p w14:paraId="5C15EB08" w14:textId="77777777" w:rsidR="00BA7615" w:rsidRDefault="00353E2D" w:rsidP="00BA7615">
      <w:pPr>
        <w:pStyle w:val="Body"/>
      </w:pPr>
      <w:r w:rsidRPr="00BA7615">
        <w:t xml:space="preserve">The Notice clarifies that employers can decide how long to </w:t>
      </w:r>
      <w:r w:rsidR="00BB44B7">
        <w:t xml:space="preserve">allow </w:t>
      </w:r>
      <w:r w:rsidRPr="00BA7615">
        <w:t>mid-year election changes with no change in status during the plan year and can limit the number of election changes during the plan year that are not associated with a change in status</w:t>
      </w:r>
      <w:r>
        <w:t>.</w:t>
      </w:r>
    </w:p>
    <w:p w14:paraId="4FE6830C" w14:textId="77777777" w:rsidR="00D637D5" w:rsidRPr="00A31CBE" w:rsidRDefault="00353E2D" w:rsidP="00137036">
      <w:pPr>
        <w:pStyle w:val="Body"/>
        <w:spacing w:after="0"/>
        <w:rPr>
          <w:rStyle w:val="2HeaderChar"/>
        </w:rPr>
      </w:pPr>
      <w:r>
        <w:rPr>
          <w:rStyle w:val="2HeaderChar"/>
        </w:rPr>
        <w:t>Over-the-Counter Drugs</w:t>
      </w:r>
    </w:p>
    <w:p w14:paraId="593E47D6" w14:textId="77777777" w:rsidR="00C95AA1" w:rsidRDefault="00353E2D" w:rsidP="00137036">
      <w:pPr>
        <w:pStyle w:val="Body"/>
        <w:sectPr w:rsidR="00C95AA1" w:rsidSect="00D637D5">
          <w:type w:val="continuous"/>
          <w:pgSz w:w="12240" w:h="15840"/>
          <w:pgMar w:top="432" w:right="720" w:bottom="1440" w:left="3372" w:header="720" w:footer="720" w:gutter="0"/>
          <w:cols w:num="2" w:space="245"/>
          <w:docGrid w:linePitch="360"/>
        </w:sectPr>
      </w:pPr>
      <w:r w:rsidRPr="00BA7615">
        <w:t xml:space="preserve">The Notice also provides relief with respect to plan amendments expanding reimbursable expenses for health FSAs and HRAs to include over-the-counter drugs and menstrual care products. Amendments to these plans must </w:t>
      </w:r>
      <w:r w:rsidRPr="00BA7615">
        <w:t>normally be made on a prospective basis, but these amendments may allow these reimbursements beginning on or after Jan. 1, 2020.</w:t>
      </w:r>
    </w:p>
    <w:p w14:paraId="4556CCD6" w14:textId="77777777" w:rsidR="0096300C" w:rsidRDefault="0096300C" w:rsidP="00BB44B7">
      <w:pPr>
        <w:pStyle w:val="Body"/>
        <w:spacing w:after="0"/>
      </w:pPr>
    </w:p>
    <w:p w14:paraId="2DFCFD64" w14:textId="77777777" w:rsidR="00C95AA1" w:rsidRDefault="00C95AA1" w:rsidP="00BB44B7">
      <w:pPr>
        <w:pStyle w:val="1Header"/>
        <w:spacing w:after="0"/>
        <w:sectPr w:rsidR="00C95AA1" w:rsidSect="00D637D5">
          <w:type w:val="continuous"/>
          <w:pgSz w:w="12240" w:h="15840"/>
          <w:pgMar w:top="432" w:right="720" w:bottom="1440" w:left="3372" w:header="720" w:footer="720" w:gutter="0"/>
          <w:cols w:num="2" w:space="245"/>
          <w:docGrid w:linePitch="360"/>
        </w:sectPr>
      </w:pPr>
    </w:p>
    <w:p w14:paraId="5D91C263" w14:textId="77777777" w:rsidR="00C95AA1" w:rsidRDefault="00353E2D" w:rsidP="00C95AA1">
      <w:pPr>
        <w:pStyle w:val="1Header"/>
        <w:sectPr w:rsidR="00C95AA1" w:rsidSect="00C95AA1">
          <w:type w:val="continuous"/>
          <w:pgSz w:w="12240" w:h="15840"/>
          <w:pgMar w:top="432" w:right="720" w:bottom="1440" w:left="3372" w:header="720" w:footer="720" w:gutter="0"/>
          <w:cols w:space="245"/>
          <w:docGrid w:linePitch="360"/>
        </w:sectPr>
      </w:pPr>
      <w:r>
        <w:t>Wellness Incentive Proposed Regulations Withdrawn</w:t>
      </w:r>
    </w:p>
    <w:p w14:paraId="3BDB40BC" w14:textId="77777777" w:rsidR="00C95AA1" w:rsidRDefault="00353E2D" w:rsidP="00C95AA1">
      <w:pPr>
        <w:pStyle w:val="Body"/>
      </w:pPr>
      <w:r>
        <w:t>On Feb. 12, 2021, the Equal Employment Op</w:t>
      </w:r>
      <w:r>
        <w:t xml:space="preserve">portunity Commission (EEOC) </w:t>
      </w:r>
      <w:hyperlink r:id="rId14" w:history="1">
        <w:r w:rsidRPr="00815A41">
          <w:rPr>
            <w:rStyle w:val="Hyperlink"/>
          </w:rPr>
          <w:t>withdrew</w:t>
        </w:r>
      </w:hyperlink>
      <w:r>
        <w:t xml:space="preserve"> two proposed rules it previously issued in January 2021 on </w:t>
      </w:r>
      <w:r w:rsidRPr="006F0714">
        <w:t xml:space="preserve">wellness programs under the </w:t>
      </w:r>
      <w:r w:rsidRPr="00815A41">
        <w:t>Americans with Disabilities Act (ADA)</w:t>
      </w:r>
      <w:r w:rsidRPr="006F0714">
        <w:t xml:space="preserve"> and the </w:t>
      </w:r>
      <w:r w:rsidRPr="00815A41">
        <w:t>Genetic Information Non-Di</w:t>
      </w:r>
      <w:r w:rsidRPr="00815A41">
        <w:t>scrimination Act (GINA)</w:t>
      </w:r>
      <w:r w:rsidRPr="006F0714">
        <w:t>.</w:t>
      </w:r>
    </w:p>
    <w:p w14:paraId="654F2DEF" w14:textId="77777777" w:rsidR="00BB44B7" w:rsidRPr="00A31CBE" w:rsidRDefault="00353E2D" w:rsidP="00BB44B7">
      <w:pPr>
        <w:pStyle w:val="Body"/>
        <w:spacing w:after="0"/>
        <w:rPr>
          <w:rStyle w:val="2HeaderChar"/>
        </w:rPr>
      </w:pPr>
      <w:r>
        <w:rPr>
          <w:rStyle w:val="2HeaderChar"/>
        </w:rPr>
        <w:t>Overview of the Proposed Rules</w:t>
      </w:r>
    </w:p>
    <w:p w14:paraId="29A20829" w14:textId="77777777" w:rsidR="00C95AA1" w:rsidRDefault="00353E2D" w:rsidP="00815A41">
      <w:pPr>
        <w:pStyle w:val="Body"/>
      </w:pPr>
      <w:r w:rsidRPr="008D08A1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84EE1A1" wp14:editId="6532C569">
                <wp:simplePos x="0" y="0"/>
                <wp:positionH relativeFrom="margin">
                  <wp:posOffset>152400</wp:posOffset>
                </wp:positionH>
                <wp:positionV relativeFrom="page">
                  <wp:posOffset>9705878</wp:posOffset>
                </wp:positionV>
                <wp:extent cx="2071370" cy="2101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370" cy="210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B55D1" w14:textId="77777777" w:rsidR="000A22E5" w:rsidRPr="00C633E7" w:rsidRDefault="00353E2D" w:rsidP="000A22E5">
                            <w:pPr>
                              <w:jc w:val="center"/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C633E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© 20</w:t>
                            </w:r>
                            <w:r w:rsidR="005455C0" w:rsidRPr="00C633E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2</w:t>
                            </w:r>
                            <w:r w:rsidR="00BB44B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1</w:t>
                            </w:r>
                            <w:r w:rsidRPr="00C633E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 xml:space="preserve"> Zywave, Inc. All rights reserved</w:t>
                            </w:r>
                            <w:r w:rsidR="00BD2731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E1A1" id="Text Box 12" o:spid="_x0000_s1027" type="#_x0000_t202" style="position:absolute;margin-left:12pt;margin-top:764.25pt;width:163.1pt;height:16.5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" filled="f" stroked="f" strokeweight=".5pt">
                <v:textbox>
                  <w:txbxContent>
                    <w:p w14:paraId="005B55D1" w14:textId="77777777" w:rsidR="000A22E5" w:rsidRPr="00C633E7" w:rsidRDefault="00353E2D" w:rsidP="000A22E5">
                      <w:pPr>
                        <w:jc w:val="center"/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C633E7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© 20</w:t>
                      </w:r>
                      <w:r w:rsidR="005455C0" w:rsidRPr="00C633E7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2</w:t>
                      </w:r>
                      <w:r w:rsidR="00BB44B7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1</w:t>
                      </w:r>
                      <w:r w:rsidRPr="00C633E7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 xml:space="preserve"> Zywave, Inc. All rights reserved</w:t>
                      </w:r>
                      <w:r w:rsidR="00BD2731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001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C4ADF" wp14:editId="23614546">
                <wp:simplePos x="0" y="0"/>
                <wp:positionH relativeFrom="margin">
                  <wp:align>left</wp:align>
                </wp:positionH>
                <wp:positionV relativeFrom="page">
                  <wp:posOffset>9295814</wp:posOffset>
                </wp:positionV>
                <wp:extent cx="2426335" cy="457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86D9D" w14:textId="77777777" w:rsidR="00CB25AA" w:rsidRPr="00CB25AA" w:rsidRDefault="00353E2D" w:rsidP="00F90E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Provided to </w:t>
                            </w:r>
                            <w:r w:rsidR="00BD2731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  <w:t>y</w:t>
                            </w:r>
                            <w:r w:rsidRPr="00CB25AA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  <w:t>ou by</w:t>
                            </w:r>
                          </w:p>
                          <w:p w14:paraId="7881EEEE" w14:textId="77777777" w:rsidR="00CB25AA" w:rsidRPr="0051484C" w:rsidRDefault="00353E2D" w:rsidP="00F90E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51484C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The Richards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C4ADF" id="Text Box 14" o:spid="_x0000_s1028" type="#_x0000_t202" style="position:absolute;margin-left:0;margin-top:731.95pt;width:191.05pt;height:3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" filled="f" stroked="f" strokeweight=".5pt">
                <v:textbox>
                  <w:txbxContent>
                    <w:p w14:paraId="20A86D9D" w14:textId="77777777" w:rsidR="00CB25AA" w:rsidRPr="00CB25AA" w:rsidRDefault="00353E2D" w:rsidP="00F90E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  <w:t xml:space="preserve">Provided to </w:t>
                      </w:r>
                      <w:r w:rsidR="00BD2731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  <w:t>y</w:t>
                      </w:r>
                      <w:r w:rsidRPr="00CB25AA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  <w:t>ou by</w:t>
                      </w:r>
                    </w:p>
                    <w:p w14:paraId="7881EEEE" w14:textId="77777777" w:rsidR="00CB25AA" w:rsidRPr="0051484C" w:rsidRDefault="00353E2D" w:rsidP="00F90E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51484C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The Richards Group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15A41" w:rsidRPr="00815A41">
        <w:rPr>
          <w:noProof/>
        </w:rPr>
        <w:t>The proposed rules were issued in response to a federal court decision vacat</w:t>
      </w:r>
      <w:r w:rsidR="00BB44B7">
        <w:rPr>
          <w:noProof/>
        </w:rPr>
        <w:t>ing</w:t>
      </w:r>
      <w:r w:rsidR="00815A41" w:rsidRPr="00815A41">
        <w:rPr>
          <w:noProof/>
        </w:rPr>
        <w:t xml:space="preserve"> </w:t>
      </w:r>
      <w:r w:rsidR="00815A41">
        <w:rPr>
          <w:noProof/>
        </w:rPr>
        <w:t>p</w:t>
      </w:r>
      <w:r w:rsidR="00815A41" w:rsidRPr="00815A41">
        <w:rPr>
          <w:noProof/>
        </w:rPr>
        <w:t>a</w:t>
      </w:r>
      <w:r w:rsidR="00815A41">
        <w:rPr>
          <w:noProof/>
        </w:rPr>
        <w:t>rt</w:t>
      </w:r>
      <w:r w:rsidR="00815A41" w:rsidRPr="00815A41">
        <w:rPr>
          <w:noProof/>
        </w:rPr>
        <w:t xml:space="preserve"> of </w:t>
      </w:r>
      <w:r w:rsidR="00815A41">
        <w:rPr>
          <w:noProof/>
        </w:rPr>
        <w:t xml:space="preserve">prior </w:t>
      </w:r>
      <w:r w:rsidR="00815A41" w:rsidRPr="00815A41">
        <w:rPr>
          <w:noProof/>
        </w:rPr>
        <w:t>EEOC</w:t>
      </w:r>
      <w:r w:rsidR="00815A41">
        <w:rPr>
          <w:noProof/>
        </w:rPr>
        <w:t xml:space="preserve"> rules</w:t>
      </w:r>
      <w:r w:rsidR="00815A41" w:rsidRPr="00815A41">
        <w:rPr>
          <w:noProof/>
        </w:rPr>
        <w:t xml:space="preserve"> describing the incentives an employer could offer </w:t>
      </w:r>
      <w:r w:rsidR="00815A41">
        <w:rPr>
          <w:noProof/>
        </w:rPr>
        <w:t xml:space="preserve">as part of a wellness program in certain circumstances. The proposed rules would have generally allowed only </w:t>
      </w:r>
      <w:r w:rsidR="00815A41">
        <w:rPr>
          <w:i/>
          <w:noProof/>
        </w:rPr>
        <w:t xml:space="preserve">de minimis </w:t>
      </w:r>
      <w:r w:rsidR="00815A41">
        <w:rPr>
          <w:noProof/>
        </w:rPr>
        <w:t>incentives to be offered for wellness program participation.</w:t>
      </w:r>
      <w:r w:rsidR="00BB44B7">
        <w:rPr>
          <w:noProof/>
        </w:rPr>
        <w:t xml:space="preserve"> Exceptions allowing larger incentives would </w:t>
      </w:r>
      <w:r w:rsidR="00C95AA1">
        <w:br w:type="column"/>
      </w:r>
      <w:r w:rsidR="00815A41">
        <w:t xml:space="preserve">have </w:t>
      </w:r>
      <w:r w:rsidR="00815A41" w:rsidRPr="00815A41">
        <w:t>appl</w:t>
      </w:r>
      <w:r w:rsidR="00815A41">
        <w:t>ied</w:t>
      </w:r>
      <w:r w:rsidR="00815A41" w:rsidRPr="00815A41">
        <w:t xml:space="preserve"> to health-contingent wellness programs that are part of, or qualify as, group health plans under the ADA rules.</w:t>
      </w:r>
    </w:p>
    <w:p w14:paraId="481FDAAC" w14:textId="77777777" w:rsidR="00BB44B7" w:rsidRPr="00A31CBE" w:rsidRDefault="00353E2D" w:rsidP="00BB44B7">
      <w:pPr>
        <w:pStyle w:val="Body"/>
        <w:spacing w:after="0"/>
        <w:rPr>
          <w:rStyle w:val="2HeaderChar"/>
        </w:rPr>
      </w:pPr>
      <w:r>
        <w:rPr>
          <w:rStyle w:val="2HeaderChar"/>
        </w:rPr>
        <w:t>Withdrawal</w:t>
      </w:r>
    </w:p>
    <w:p w14:paraId="0914C0CB" w14:textId="77777777" w:rsidR="00C95AA1" w:rsidRPr="00D001DF" w:rsidRDefault="00353E2D" w:rsidP="00C95AA1">
      <w:pPr>
        <w:pStyle w:val="Body"/>
      </w:pPr>
      <w:r>
        <w:t>These proposed rules were withdrawn because they were not published by Jan. 20, 2021, the time of President Joe Biden’s inauguration</w:t>
      </w:r>
      <w:r>
        <w:t xml:space="preserve">. Upon inauguration, the President issued a </w:t>
      </w:r>
      <w:hyperlink r:id="rId15" w:history="1">
        <w:r w:rsidRPr="00BB44B7">
          <w:rPr>
            <w:rStyle w:val="Hyperlink"/>
          </w:rPr>
          <w:t>memorandum</w:t>
        </w:r>
      </w:hyperlink>
      <w:r>
        <w:t xml:space="preserve"> </w:t>
      </w:r>
      <w:r w:rsidRPr="00BB44B7">
        <w:t>requir</w:t>
      </w:r>
      <w:r>
        <w:t>ing</w:t>
      </w:r>
      <w:r w:rsidRPr="00BB44B7">
        <w:t xml:space="preserve"> all agencies to immediately withdraw any proposed rules that had not</w:t>
      </w:r>
      <w:r w:rsidRPr="00BB44B7">
        <w:t xml:space="preserve"> yet been published</w:t>
      </w:r>
      <w:r>
        <w:t>. As a result, the</w:t>
      </w:r>
      <w:r w:rsidRPr="00BB44B7">
        <w:t xml:space="preserve"> next steps </w:t>
      </w:r>
      <w:r>
        <w:t xml:space="preserve">for these proposed rules </w:t>
      </w:r>
      <w:r w:rsidRPr="00BB44B7">
        <w:t xml:space="preserve">are </w:t>
      </w:r>
      <w:r>
        <w:t xml:space="preserve">currently </w:t>
      </w:r>
      <w:r w:rsidRPr="00BB44B7">
        <w:t>under consideration.</w:t>
      </w:r>
    </w:p>
    <w:sectPr w:rsidR="00C95AA1" w:rsidRPr="00D001DF" w:rsidSect="00C95AA1">
      <w:type w:val="continuous"/>
      <w:pgSz w:w="12240" w:h="15840"/>
      <w:pgMar w:top="432" w:right="720" w:bottom="1440" w:left="3372" w:header="720" w:footer="720" w:gutter="0"/>
      <w:cols w:num="2" w:space="24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4E096" w14:textId="77777777" w:rsidR="00000000" w:rsidRDefault="00353E2D">
      <w:pPr>
        <w:spacing w:after="0" w:line="240" w:lineRule="auto"/>
      </w:pPr>
      <w:r>
        <w:separator/>
      </w:r>
    </w:p>
  </w:endnote>
  <w:endnote w:type="continuationSeparator" w:id="0">
    <w:p w14:paraId="245A827A" w14:textId="77777777" w:rsidR="00000000" w:rsidRDefault="00353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AB565C" w14:textId="77777777" w:rsidR="00000000" w:rsidRDefault="00353E2D">
      <w:pPr>
        <w:spacing w:after="0" w:line="240" w:lineRule="auto"/>
      </w:pPr>
      <w:r>
        <w:separator/>
      </w:r>
    </w:p>
  </w:footnote>
  <w:footnote w:type="continuationSeparator" w:id="0">
    <w:p w14:paraId="6622802E" w14:textId="77777777" w:rsidR="00000000" w:rsidRDefault="00353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08BF3" w14:textId="77777777" w:rsidR="008D0E14" w:rsidRDefault="00353E2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55B4F7" wp14:editId="060C2AC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64378"/>
    <w:multiLevelType w:val="hybridMultilevel"/>
    <w:tmpl w:val="4A6CA8A0"/>
    <w:lvl w:ilvl="0" w:tplc="B4826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96DD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3664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6C45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36CE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141D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14D0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9266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5A72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31B8"/>
    <w:multiLevelType w:val="hybridMultilevel"/>
    <w:tmpl w:val="2FBCC732"/>
    <w:lvl w:ilvl="0" w:tplc="BF941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2E8C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8C92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329D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9A03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74C8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040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E8C0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E0DE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95092"/>
    <w:multiLevelType w:val="hybridMultilevel"/>
    <w:tmpl w:val="8F4CFAF2"/>
    <w:lvl w:ilvl="0" w:tplc="41F011F8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D200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16DA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5482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D859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38D5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84B3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A62A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7C59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C5AEA"/>
    <w:multiLevelType w:val="hybridMultilevel"/>
    <w:tmpl w:val="A56810E2"/>
    <w:lvl w:ilvl="0" w:tplc="D41246F8">
      <w:start w:val="1"/>
      <w:numFmt w:val="decimal"/>
      <w:pStyle w:val="NumberedList"/>
      <w:lvlText w:val="%1."/>
      <w:lvlJc w:val="left"/>
      <w:pPr>
        <w:ind w:left="810" w:hanging="360"/>
      </w:pPr>
      <w:rPr>
        <w:rFonts w:hint="default"/>
        <w:b/>
        <w:i w:val="0"/>
      </w:rPr>
    </w:lvl>
    <w:lvl w:ilvl="1" w:tplc="F9166F28" w:tentative="1">
      <w:start w:val="1"/>
      <w:numFmt w:val="lowerLetter"/>
      <w:lvlText w:val="%2."/>
      <w:lvlJc w:val="left"/>
      <w:pPr>
        <w:ind w:left="1530" w:hanging="360"/>
      </w:pPr>
    </w:lvl>
    <w:lvl w:ilvl="2" w:tplc="E3827AD8" w:tentative="1">
      <w:start w:val="1"/>
      <w:numFmt w:val="lowerRoman"/>
      <w:lvlText w:val="%3."/>
      <w:lvlJc w:val="right"/>
      <w:pPr>
        <w:ind w:left="2250" w:hanging="180"/>
      </w:pPr>
    </w:lvl>
    <w:lvl w:ilvl="3" w:tplc="10E47022" w:tentative="1">
      <w:start w:val="1"/>
      <w:numFmt w:val="decimal"/>
      <w:lvlText w:val="%4."/>
      <w:lvlJc w:val="left"/>
      <w:pPr>
        <w:ind w:left="2970" w:hanging="360"/>
      </w:pPr>
    </w:lvl>
    <w:lvl w:ilvl="4" w:tplc="22D84444" w:tentative="1">
      <w:start w:val="1"/>
      <w:numFmt w:val="lowerLetter"/>
      <w:lvlText w:val="%5."/>
      <w:lvlJc w:val="left"/>
      <w:pPr>
        <w:ind w:left="3690" w:hanging="360"/>
      </w:pPr>
    </w:lvl>
    <w:lvl w:ilvl="5" w:tplc="5440B178" w:tentative="1">
      <w:start w:val="1"/>
      <w:numFmt w:val="lowerRoman"/>
      <w:lvlText w:val="%6."/>
      <w:lvlJc w:val="right"/>
      <w:pPr>
        <w:ind w:left="4410" w:hanging="180"/>
      </w:pPr>
    </w:lvl>
    <w:lvl w:ilvl="6" w:tplc="B4EEBF1A" w:tentative="1">
      <w:start w:val="1"/>
      <w:numFmt w:val="decimal"/>
      <w:lvlText w:val="%7."/>
      <w:lvlJc w:val="left"/>
      <w:pPr>
        <w:ind w:left="5130" w:hanging="360"/>
      </w:pPr>
    </w:lvl>
    <w:lvl w:ilvl="7" w:tplc="DE3061E8" w:tentative="1">
      <w:start w:val="1"/>
      <w:numFmt w:val="lowerLetter"/>
      <w:lvlText w:val="%8."/>
      <w:lvlJc w:val="left"/>
      <w:pPr>
        <w:ind w:left="5850" w:hanging="360"/>
      </w:pPr>
    </w:lvl>
    <w:lvl w:ilvl="8" w:tplc="8A4056FA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62CF7BF7"/>
    <w:multiLevelType w:val="hybridMultilevel"/>
    <w:tmpl w:val="3062703C"/>
    <w:lvl w:ilvl="0" w:tplc="10341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EEF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DC6F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40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AC34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E0A6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4B9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1625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22FE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D6A28"/>
    <w:multiLevelType w:val="hybridMultilevel"/>
    <w:tmpl w:val="F22E57F0"/>
    <w:lvl w:ilvl="0" w:tplc="14F8DD78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31456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AE3A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725C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A29A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28E6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98C1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3298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E4E4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3sjQ2sDQ0MzC3MDJT0lEKTi0uzszPAykwrAUADjG2mSwAAAA="/>
  </w:docVars>
  <w:rsids>
    <w:rsidRoot w:val="00CA4D20"/>
    <w:rsid w:val="00096676"/>
    <w:rsid w:val="000A1A7C"/>
    <w:rsid w:val="000A22E5"/>
    <w:rsid w:val="000F08E0"/>
    <w:rsid w:val="000F498F"/>
    <w:rsid w:val="001213A0"/>
    <w:rsid w:val="00137036"/>
    <w:rsid w:val="00185FD8"/>
    <w:rsid w:val="001932BA"/>
    <w:rsid w:val="001A6F73"/>
    <w:rsid w:val="001F619A"/>
    <w:rsid w:val="0020115E"/>
    <w:rsid w:val="002A5EBE"/>
    <w:rsid w:val="002B67A3"/>
    <w:rsid w:val="002B6B23"/>
    <w:rsid w:val="002F38B6"/>
    <w:rsid w:val="00353E2D"/>
    <w:rsid w:val="003544B1"/>
    <w:rsid w:val="00391CD4"/>
    <w:rsid w:val="00430D8C"/>
    <w:rsid w:val="004431DE"/>
    <w:rsid w:val="00450F07"/>
    <w:rsid w:val="0045285D"/>
    <w:rsid w:val="00467682"/>
    <w:rsid w:val="004B0128"/>
    <w:rsid w:val="004E65F3"/>
    <w:rsid w:val="0051484C"/>
    <w:rsid w:val="0053575D"/>
    <w:rsid w:val="005455C0"/>
    <w:rsid w:val="005D59F3"/>
    <w:rsid w:val="00607E4B"/>
    <w:rsid w:val="0064631E"/>
    <w:rsid w:val="00660CDA"/>
    <w:rsid w:val="006B7630"/>
    <w:rsid w:val="006F0714"/>
    <w:rsid w:val="00736302"/>
    <w:rsid w:val="00792C11"/>
    <w:rsid w:val="00792F89"/>
    <w:rsid w:val="007C66EC"/>
    <w:rsid w:val="00815A41"/>
    <w:rsid w:val="008265F1"/>
    <w:rsid w:val="00841C46"/>
    <w:rsid w:val="008A0B9A"/>
    <w:rsid w:val="008A740E"/>
    <w:rsid w:val="008B636A"/>
    <w:rsid w:val="008D0E14"/>
    <w:rsid w:val="008F5DE8"/>
    <w:rsid w:val="00912334"/>
    <w:rsid w:val="00951DDB"/>
    <w:rsid w:val="0096300C"/>
    <w:rsid w:val="00970778"/>
    <w:rsid w:val="00974F0E"/>
    <w:rsid w:val="00986B93"/>
    <w:rsid w:val="009C336C"/>
    <w:rsid w:val="00A1062C"/>
    <w:rsid w:val="00A16E52"/>
    <w:rsid w:val="00A30C21"/>
    <w:rsid w:val="00A31CBE"/>
    <w:rsid w:val="00A57169"/>
    <w:rsid w:val="00A62634"/>
    <w:rsid w:val="00AD027A"/>
    <w:rsid w:val="00B129E0"/>
    <w:rsid w:val="00B2035A"/>
    <w:rsid w:val="00B27928"/>
    <w:rsid w:val="00B36F37"/>
    <w:rsid w:val="00B85464"/>
    <w:rsid w:val="00BA7615"/>
    <w:rsid w:val="00BB44B7"/>
    <w:rsid w:val="00BB5DB5"/>
    <w:rsid w:val="00BC1289"/>
    <w:rsid w:val="00BD2731"/>
    <w:rsid w:val="00C028FB"/>
    <w:rsid w:val="00C633E7"/>
    <w:rsid w:val="00C92443"/>
    <w:rsid w:val="00C95AA1"/>
    <w:rsid w:val="00CA4D20"/>
    <w:rsid w:val="00CA7A2E"/>
    <w:rsid w:val="00CB25AA"/>
    <w:rsid w:val="00CB4495"/>
    <w:rsid w:val="00CC5EF1"/>
    <w:rsid w:val="00D001DF"/>
    <w:rsid w:val="00D47248"/>
    <w:rsid w:val="00D47D52"/>
    <w:rsid w:val="00D56A8B"/>
    <w:rsid w:val="00D6020C"/>
    <w:rsid w:val="00D637D5"/>
    <w:rsid w:val="00DC2EC9"/>
    <w:rsid w:val="00E17698"/>
    <w:rsid w:val="00E17D84"/>
    <w:rsid w:val="00E63837"/>
    <w:rsid w:val="00E71E77"/>
    <w:rsid w:val="00ED6866"/>
    <w:rsid w:val="00F02840"/>
    <w:rsid w:val="00F505DA"/>
    <w:rsid w:val="00F90E5E"/>
    <w:rsid w:val="00FA59F8"/>
    <w:rsid w:val="00FB5C17"/>
    <w:rsid w:val="00FE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F9AB3"/>
  <w15:chartTrackingRefBased/>
  <w15:docId w15:val="{782E55EA-2F08-41AA-B2C3-B6761BC7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5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ABD"/>
  </w:style>
  <w:style w:type="paragraph" w:styleId="Footer">
    <w:name w:val="footer"/>
    <w:basedOn w:val="Normal"/>
    <w:link w:val="FooterChar"/>
    <w:uiPriority w:val="99"/>
    <w:unhideWhenUsed/>
    <w:rsid w:val="00FE5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ABD"/>
  </w:style>
  <w:style w:type="paragraph" w:customStyle="1" w:styleId="ArticleHeader">
    <w:name w:val="Article Header"/>
    <w:basedOn w:val="Normal"/>
    <w:link w:val="ArticleHeaderChar"/>
    <w:rsid w:val="000A1A7C"/>
    <w:pPr>
      <w:spacing w:after="0" w:line="240" w:lineRule="auto"/>
    </w:pPr>
    <w:rPr>
      <w:rFonts w:ascii="Arial" w:hAnsi="Arial" w:cs="Arial"/>
      <w:b/>
      <w:sz w:val="32"/>
      <w:szCs w:val="32"/>
    </w:rPr>
  </w:style>
  <w:style w:type="paragraph" w:customStyle="1" w:styleId="Subheader">
    <w:name w:val="Subheader"/>
    <w:basedOn w:val="Normal"/>
    <w:link w:val="SubheaderChar"/>
    <w:rsid w:val="000A1A7C"/>
    <w:pPr>
      <w:spacing w:after="0" w:line="240" w:lineRule="auto"/>
    </w:pPr>
    <w:rPr>
      <w:rFonts w:ascii="Arial" w:hAnsi="Arial" w:cs="Arial"/>
      <w:b/>
      <w:sz w:val="26"/>
      <w:szCs w:val="26"/>
    </w:rPr>
  </w:style>
  <w:style w:type="character" w:customStyle="1" w:styleId="ArticleHeaderChar">
    <w:name w:val="Article Header Char"/>
    <w:basedOn w:val="DefaultParagraphFont"/>
    <w:link w:val="ArticleHeader"/>
    <w:rsid w:val="000A1A7C"/>
    <w:rPr>
      <w:rFonts w:ascii="Arial" w:hAnsi="Arial" w:cs="Arial"/>
      <w:b/>
      <w:sz w:val="32"/>
      <w:szCs w:val="32"/>
    </w:rPr>
  </w:style>
  <w:style w:type="paragraph" w:customStyle="1" w:styleId="BulletedList">
    <w:name w:val="Bulleted List"/>
    <w:basedOn w:val="Normal"/>
    <w:link w:val="BulletedListChar"/>
    <w:rsid w:val="000A1A7C"/>
    <w:pPr>
      <w:numPr>
        <w:numId w:val="1"/>
      </w:numPr>
      <w:spacing w:after="0" w:line="240" w:lineRule="auto"/>
    </w:pPr>
    <w:rPr>
      <w:rFonts w:ascii="Arial" w:hAnsi="Arial" w:cs="Arial"/>
    </w:rPr>
  </w:style>
  <w:style w:type="character" w:customStyle="1" w:styleId="SubheaderChar">
    <w:name w:val="Subheader Char"/>
    <w:basedOn w:val="DefaultParagraphFont"/>
    <w:link w:val="Subheader"/>
    <w:rsid w:val="000A1A7C"/>
    <w:rPr>
      <w:rFonts w:ascii="Arial" w:hAnsi="Arial" w:cs="Arial"/>
      <w:b/>
      <w:sz w:val="26"/>
      <w:szCs w:val="26"/>
    </w:rPr>
  </w:style>
  <w:style w:type="paragraph" w:customStyle="1" w:styleId="NumberedList">
    <w:name w:val="Numbered List"/>
    <w:basedOn w:val="BulletedList"/>
    <w:link w:val="NumberedListChar"/>
    <w:rsid w:val="00841C46"/>
    <w:pPr>
      <w:numPr>
        <w:numId w:val="2"/>
      </w:numPr>
      <w:ind w:left="270" w:hanging="270"/>
    </w:pPr>
  </w:style>
  <w:style w:type="character" w:customStyle="1" w:styleId="BulletedListChar">
    <w:name w:val="Bulleted List Char"/>
    <w:basedOn w:val="DefaultParagraphFont"/>
    <w:link w:val="BulletedList"/>
    <w:rsid w:val="000A1A7C"/>
    <w:rPr>
      <w:rFonts w:ascii="Arial" w:hAnsi="Arial" w:cs="Arial"/>
    </w:rPr>
  </w:style>
  <w:style w:type="character" w:customStyle="1" w:styleId="NumberedListChar">
    <w:name w:val="Numbered List Char"/>
    <w:basedOn w:val="BulletedListChar"/>
    <w:link w:val="NumberedList"/>
    <w:rsid w:val="00841C46"/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2B67A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2B67A3"/>
    <w:pPr>
      <w:spacing w:line="240" w:lineRule="auto"/>
      <w:ind w:left="720"/>
      <w:contextualSpacing/>
    </w:pPr>
    <w:rPr>
      <w:rFonts w:ascii="Arial" w:hAnsi="Arial" w:cs="Arial"/>
      <w:sz w:val="20"/>
    </w:rPr>
  </w:style>
  <w:style w:type="paragraph" w:customStyle="1" w:styleId="1Header">
    <w:name w:val="1 Header"/>
    <w:basedOn w:val="ArticleHeader"/>
    <w:link w:val="1HeaderChar"/>
    <w:qFormat/>
    <w:rsid w:val="000F498F"/>
    <w:pPr>
      <w:spacing w:after="160" w:line="192" w:lineRule="auto"/>
    </w:pPr>
    <w:rPr>
      <w:rFonts w:asciiTheme="minorHAnsi" w:hAnsiTheme="minorHAnsi" w:cstheme="minorHAnsi"/>
      <w:sz w:val="36"/>
    </w:rPr>
  </w:style>
  <w:style w:type="paragraph" w:customStyle="1" w:styleId="Body">
    <w:name w:val="Body"/>
    <w:basedOn w:val="Normal"/>
    <w:link w:val="BodyChar"/>
    <w:qFormat/>
    <w:rsid w:val="0053575D"/>
    <w:rPr>
      <w:rFonts w:cstheme="minorHAnsi"/>
    </w:rPr>
  </w:style>
  <w:style w:type="character" w:customStyle="1" w:styleId="1HeaderChar">
    <w:name w:val="1 Header Char"/>
    <w:basedOn w:val="ArticleHeaderChar"/>
    <w:link w:val="1Header"/>
    <w:rsid w:val="000F498F"/>
    <w:rPr>
      <w:rFonts w:ascii="Arial" w:hAnsi="Arial" w:cstheme="minorHAnsi"/>
      <w:b/>
      <w:sz w:val="36"/>
      <w:szCs w:val="32"/>
    </w:rPr>
  </w:style>
  <w:style w:type="paragraph" w:customStyle="1" w:styleId="BulletList">
    <w:name w:val="Bullet List"/>
    <w:basedOn w:val="Body"/>
    <w:link w:val="BulletListChar"/>
    <w:qFormat/>
    <w:rsid w:val="00185FD8"/>
    <w:pPr>
      <w:numPr>
        <w:numId w:val="6"/>
      </w:numPr>
      <w:spacing w:after="60"/>
      <w:ind w:left="273" w:hanging="187"/>
    </w:pPr>
  </w:style>
  <w:style w:type="character" w:customStyle="1" w:styleId="BodyChar">
    <w:name w:val="Body Char"/>
    <w:basedOn w:val="DefaultParagraphFont"/>
    <w:link w:val="Body"/>
    <w:rsid w:val="0053575D"/>
    <w:rPr>
      <w:rFonts w:cstheme="minorHAnsi"/>
    </w:rPr>
  </w:style>
  <w:style w:type="character" w:customStyle="1" w:styleId="BulletListChar">
    <w:name w:val="Bullet List Char"/>
    <w:basedOn w:val="BodyChar"/>
    <w:link w:val="BulletList"/>
    <w:rsid w:val="00185FD8"/>
    <w:rPr>
      <w:rFonts w:cstheme="minorHAnsi"/>
    </w:rPr>
  </w:style>
  <w:style w:type="paragraph" w:customStyle="1" w:styleId="2Header">
    <w:name w:val="2 Header"/>
    <w:basedOn w:val="Normal"/>
    <w:link w:val="2HeaderChar"/>
    <w:qFormat/>
    <w:rsid w:val="00C95AA1"/>
    <w:pPr>
      <w:spacing w:after="0"/>
    </w:pPr>
    <w:rPr>
      <w:rFonts w:cstheme="minorHAnsi"/>
      <w:b/>
    </w:rPr>
  </w:style>
  <w:style w:type="character" w:customStyle="1" w:styleId="2HeaderChar">
    <w:name w:val="2 Header Char"/>
    <w:basedOn w:val="DefaultParagraphFont"/>
    <w:link w:val="2Header"/>
    <w:rsid w:val="00C95AA1"/>
    <w:rPr>
      <w:rFonts w:cstheme="minorHAnsi"/>
      <w:b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4D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5A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rs.gov/pub/irs-drop/n-20-29.pdf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govinfo.gov/content/pkg/FR-2019-01-24/pdf/2019-00077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info.gov/content/pkg/FR-2019-01-24/pdf/2019-00077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whitehouse.gov/briefing-room/presidential-actions/2021/01/20/regulatory-freeze-pending-review/" TargetMode="External"/><Relationship Id="rId10" Type="http://schemas.openxmlformats.org/officeDocument/2006/relationships/hyperlink" Target="https://www.irs.gov/pub/irs-drop/n-21-1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info.gov/content/pkg/FR-2019-01-24/pdf/2019-00077.pdf" TargetMode="External"/><Relationship Id="rId14" Type="http://schemas.openxmlformats.org/officeDocument/2006/relationships/hyperlink" Target="https://www.eeoc.gov/regulations/rulemak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MASTER%20TEMPLATES\EB%20Content\_Archive%20-%20Old%20Templates%20and%20Series\Benefits%20Buzz\2021\TEMPLATE%20-%20Benefits%20Buz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- Benefits Buzz</Template>
  <TotalTime>0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Rollefson, Becca</dc:creator>
  <cp:lastModifiedBy>Jacobs, Jessica</cp:lastModifiedBy>
  <cp:revision>2</cp:revision>
  <cp:lastPrinted>2020-10-07T17:13:00Z</cp:lastPrinted>
  <dcterms:created xsi:type="dcterms:W3CDTF">2021-03-05T14:11:00Z</dcterms:created>
  <dcterms:modified xsi:type="dcterms:W3CDTF">2021-03-05T14:11:00Z</dcterms:modified>
</cp:coreProperties>
</file>