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F607AA" w14:textId="77777777" w:rsidR="00D637D5" w:rsidRDefault="001B039E" w:rsidP="00002334">
      <w:pPr>
        <w:pStyle w:val="1Header"/>
        <w:spacing w:after="120"/>
        <w:sectPr w:rsidR="00D637D5" w:rsidSect="00FA59F8">
          <w:headerReference w:type="default" r:id="rId7"/>
          <w:type w:val="continuous"/>
          <w:pgSz w:w="12240" w:h="15840"/>
          <w:pgMar w:top="936" w:right="720" w:bottom="1440" w:left="3370" w:header="0" w:footer="720" w:gutter="0"/>
          <w:cols w:space="245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0" locked="1" layoutInCell="1" allowOverlap="1" wp14:anchorId="7AB11B00" wp14:editId="7765C0AA">
            <wp:simplePos x="0" y="0"/>
            <wp:positionH relativeFrom="margin">
              <wp:posOffset>3175000</wp:posOffset>
            </wp:positionH>
            <wp:positionV relativeFrom="margin">
              <wp:posOffset>8128000</wp:posOffset>
            </wp:positionV>
            <wp:extent cx="1645923" cy="1120142"/>
            <wp:effectExtent l="0" t="0" r="0" b="0"/>
            <wp:wrapNone/>
            <wp:docPr id="100009" name="Picture 100009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429165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 w:history="1">
        <w:r w:rsidR="005A6084">
          <w:t>HSA/HDHP</w:t>
        </w:r>
      </w:hyperlink>
      <w:r w:rsidR="005A6084">
        <w:t xml:space="preserve"> Limits Increase for 2022</w:t>
      </w:r>
    </w:p>
    <w:p w14:paraId="0190BC49" w14:textId="77777777" w:rsidR="00D637D5" w:rsidRDefault="001B039E" w:rsidP="00D637D5">
      <w:pPr>
        <w:pStyle w:val="Body"/>
      </w:pPr>
      <w:r w:rsidRPr="005A6084">
        <w:t xml:space="preserve">On May 10, 2021, the IRS released </w:t>
      </w:r>
      <w:hyperlink r:id="rId10" w:history="1">
        <w:r w:rsidRPr="005A6084">
          <w:rPr>
            <w:rStyle w:val="Hyperlink"/>
          </w:rPr>
          <w:t>Revenue Procedure 2021-25</w:t>
        </w:r>
      </w:hyperlink>
      <w:r w:rsidRPr="005A6084">
        <w:t xml:space="preserve"> to provide the inflation-adjusted limits for health savings accounts (HSAs) and high deductible health plans (HDHPs) for 2022. The IRS is required to publish these limi</w:t>
      </w:r>
      <w:r w:rsidRPr="005A6084">
        <w:t>ts by June 1 of each year.</w:t>
      </w:r>
    </w:p>
    <w:p w14:paraId="2893E07D" w14:textId="77777777" w:rsidR="005A6084" w:rsidRDefault="001B039E" w:rsidP="005A6084">
      <w:pPr>
        <w:pStyle w:val="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9D28BB" wp14:editId="493041DC">
                <wp:simplePos x="0" y="0"/>
                <wp:positionH relativeFrom="margin">
                  <wp:posOffset>-1547176</wp:posOffset>
                </wp:positionH>
                <wp:positionV relativeFrom="page">
                  <wp:posOffset>3609316</wp:posOffset>
                </wp:positionV>
                <wp:extent cx="2010487" cy="487045"/>
                <wp:effectExtent l="0" t="318" r="0" b="8572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10487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BC23D5" w14:textId="77777777" w:rsidR="00A1062C" w:rsidRPr="005C367E" w:rsidRDefault="001B039E" w:rsidP="00A1062C">
                            <w:pPr>
                              <w:pStyle w:val="Header"/>
                              <w:jc w:val="center"/>
                              <w:rPr>
                                <w:b/>
                                <w:color w:val="9EC263"/>
                                <w:sz w:val="36"/>
                                <w:szCs w:val="36"/>
                              </w:rPr>
                            </w:pPr>
                            <w:r w:rsidRPr="005C367E">
                              <w:rPr>
                                <w:b/>
                                <w:color w:val="9EC263"/>
                                <w:sz w:val="36"/>
                                <w:szCs w:val="36"/>
                              </w:rPr>
                              <w:t>JUNE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158.3pt;height:38.35pt;margin-top:284.2pt;margin-left:-121.8pt;mso-height-percent:0;mso-height-relative:margin;mso-position-horizontal-relative:margin;mso-position-vertical-relative:page;mso-width-percent:0;mso-width-relative:margin;mso-wrap-distance-bottom:0;mso-wrap-distance-left:9pt;mso-wrap-distance-right:9pt;mso-wrap-distance-top:0;mso-wrap-style:square;position:absolute;rotation:-90;visibility:visible;v-text-anchor:top;z-index:251664384" filled="f" stroked="f" strokeweight="0.5pt">
                <v:textbox inset="0,,0">
                  <w:txbxContent>
                    <w:p w:rsidR="00A1062C" w:rsidRPr="005C367E" w:rsidP="00A1062C">
                      <w:pPr>
                        <w:pStyle w:val="Header"/>
                        <w:jc w:val="center"/>
                        <w:rPr>
                          <w:b/>
                          <w:color w:val="9EC263"/>
                          <w:sz w:val="36"/>
                          <w:szCs w:val="36"/>
                        </w:rPr>
                      </w:pPr>
                      <w:r w:rsidRPr="005C367E">
                        <w:rPr>
                          <w:b/>
                          <w:color w:val="9EC263"/>
                          <w:sz w:val="36"/>
                          <w:szCs w:val="36"/>
                        </w:rPr>
                        <w:t xml:space="preserve">JUNE </w:t>
                      </w:r>
                      <w:r w:rsidRPr="005C367E">
                        <w:rPr>
                          <w:b/>
                          <w:color w:val="9EC263"/>
                          <w:sz w:val="36"/>
                          <w:szCs w:val="36"/>
                        </w:rPr>
                        <w:t>202</w:t>
                      </w:r>
                      <w:r w:rsidRPr="005C367E">
                        <w:rPr>
                          <w:b/>
                          <w:color w:val="9EC263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6084">
        <w:t xml:space="preserve">Eligible individuals with self-only HDHP coverage will be able to contribute </w:t>
      </w:r>
      <w:r w:rsidR="005A6084" w:rsidRPr="005A6084">
        <w:rPr>
          <w:b/>
        </w:rPr>
        <w:t>$3,650</w:t>
      </w:r>
      <w:r w:rsidR="005A6084">
        <w:t xml:space="preserve"> to their HSAs for 2022, up from $3,600 for 2021. Eligible individuals with family HDHP coverage will be able to contribute </w:t>
      </w:r>
      <w:r w:rsidR="005A6084" w:rsidRPr="005A6084">
        <w:rPr>
          <w:b/>
        </w:rPr>
        <w:t>$7,300</w:t>
      </w:r>
      <w:r w:rsidR="005A6084">
        <w:t xml:space="preserve"> </w:t>
      </w:r>
      <w:r w:rsidR="005A6084">
        <w:t>to their HSAs for 2022, up from $7,200 for 2021. Individuals who are age 55 or older are permitted to make an additional $1,000 “catch-up” contribution to their HSAs.</w:t>
      </w:r>
    </w:p>
    <w:p w14:paraId="4C17D614" w14:textId="77777777" w:rsidR="00C95AA1" w:rsidRDefault="001B039E" w:rsidP="005A6084">
      <w:pPr>
        <w:pStyle w:val="Body"/>
        <w:sectPr w:rsidR="00C95AA1" w:rsidSect="00D637D5">
          <w:type w:val="continuous"/>
          <w:pgSz w:w="12240" w:h="15840"/>
          <w:pgMar w:top="432" w:right="720" w:bottom="1440" w:left="3372" w:header="720" w:footer="720" w:gutter="0"/>
          <w:cols w:num="2" w:space="245"/>
          <w:docGrid w:linePitch="360"/>
        </w:sectPr>
      </w:pPr>
      <w:r>
        <w:t>The minimum deductible amount for HDHPs remains the same for 2022 plan ye</w:t>
      </w:r>
      <w:r>
        <w:t xml:space="preserve">ars ($1,400 for self-only coverage and $2,800 for family coverage). However, the HDHP maximum out-of-pocket expense limit increases to </w:t>
      </w:r>
      <w:r w:rsidRPr="005A6084">
        <w:rPr>
          <w:b/>
        </w:rPr>
        <w:t>$7,050</w:t>
      </w:r>
      <w:r>
        <w:t xml:space="preserve"> for self-only coverage and </w:t>
      </w:r>
      <w:r w:rsidRPr="005A6084">
        <w:rPr>
          <w:b/>
        </w:rPr>
        <w:t>$14,100</w:t>
      </w:r>
      <w:r>
        <w:t xml:space="preserve"> for family coverage.</w:t>
      </w:r>
    </w:p>
    <w:p w14:paraId="497CAB39" w14:textId="77777777" w:rsidR="0096300C" w:rsidRDefault="0096300C" w:rsidP="005A6084">
      <w:pPr>
        <w:pStyle w:val="Body"/>
        <w:spacing w:after="0"/>
      </w:pPr>
    </w:p>
    <w:p w14:paraId="4EC185B8" w14:textId="77777777" w:rsidR="00C95AA1" w:rsidRDefault="00C95AA1" w:rsidP="005A6084">
      <w:pPr>
        <w:pStyle w:val="1Header"/>
        <w:spacing w:after="0"/>
        <w:sectPr w:rsidR="00C95AA1" w:rsidSect="00D637D5">
          <w:type w:val="continuous"/>
          <w:pgSz w:w="12240" w:h="15840"/>
          <w:pgMar w:top="432" w:right="720" w:bottom="1440" w:left="3372" w:header="720" w:footer="720" w:gutter="0"/>
          <w:cols w:num="2" w:space="245"/>
          <w:docGrid w:linePitch="360"/>
        </w:sectPr>
      </w:pPr>
    </w:p>
    <w:p w14:paraId="7133BFC7" w14:textId="77777777" w:rsidR="00C95AA1" w:rsidRDefault="001B039E" w:rsidP="00002334">
      <w:pPr>
        <w:pStyle w:val="1Header"/>
        <w:spacing w:after="120"/>
        <w:sectPr w:rsidR="00C95AA1" w:rsidSect="00C95AA1">
          <w:type w:val="continuous"/>
          <w:pgSz w:w="12240" w:h="15840"/>
          <w:pgMar w:top="432" w:right="720" w:bottom="1440" w:left="3372" w:header="720" w:footer="720" w:gutter="0"/>
          <w:cols w:space="245"/>
          <w:docGrid w:linePitch="360"/>
        </w:sectPr>
      </w:pPr>
      <w:r w:rsidRPr="005A6084">
        <w:t xml:space="preserve">IRS Issues </w:t>
      </w:r>
      <w:r w:rsidRPr="005A6084">
        <w:t>Guidance on Taxability of DCAP Benefits</w:t>
      </w:r>
    </w:p>
    <w:p w14:paraId="6951309F" w14:textId="77777777" w:rsidR="005A6084" w:rsidRDefault="001B039E" w:rsidP="005A6084">
      <w:pPr>
        <w:pStyle w:val="Body"/>
      </w:pPr>
      <w:r>
        <w:t xml:space="preserve">On May 10, 2021, the IRS released </w:t>
      </w:r>
      <w:hyperlink r:id="rId11" w:history="1">
        <w:r w:rsidRPr="005A6084">
          <w:rPr>
            <w:rStyle w:val="Hyperlink"/>
          </w:rPr>
          <w:t>guidance</w:t>
        </w:r>
      </w:hyperlink>
      <w:r>
        <w:t xml:space="preserve"> on the taxability of dependent care assistance programs (DCAPs) for 2021 and 2022, clarifying that amounts attri</w:t>
      </w:r>
      <w:r>
        <w:t xml:space="preserve">butable to previously issued </w:t>
      </w:r>
      <w:hyperlink r:id="rId12" w:history="1">
        <w:r w:rsidRPr="005A6084">
          <w:rPr>
            <w:rStyle w:val="Hyperlink"/>
          </w:rPr>
          <w:t>carryover and extended grace period relief</w:t>
        </w:r>
      </w:hyperlink>
      <w:r>
        <w:t xml:space="preserve"> generally are </w:t>
      </w:r>
      <w:r w:rsidRPr="005A6084">
        <w:rPr>
          <w:b/>
        </w:rPr>
        <w:t>not taxable</w:t>
      </w:r>
      <w:r>
        <w:t>.</w:t>
      </w:r>
    </w:p>
    <w:p w14:paraId="6AC3435D" w14:textId="77777777" w:rsidR="005A6084" w:rsidRDefault="001B039E" w:rsidP="00C95AA1">
      <w:pPr>
        <w:pStyle w:val="Body"/>
      </w:pPr>
      <w:r w:rsidRPr="005A6084">
        <w:t>Carryovers of unu</w:t>
      </w:r>
      <w:r w:rsidRPr="005A6084">
        <w:t xml:space="preserve">sed DCAP amounts typically are not permitted, although a 2½ month grace period is allowed. However, recent coronavirus-related relief allows employers to amend their plans to permit the carryover of unused DCAP amounts to </w:t>
      </w:r>
      <w:r w:rsidR="00C633E7" w:rsidRPr="008D08A1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B5B6A0A" wp14:editId="5CFFE8A8">
                <wp:simplePos x="0" y="0"/>
                <wp:positionH relativeFrom="margin">
                  <wp:posOffset>152400</wp:posOffset>
                </wp:positionH>
                <wp:positionV relativeFrom="page">
                  <wp:posOffset>9705878</wp:posOffset>
                </wp:positionV>
                <wp:extent cx="2071370" cy="21018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1370" cy="210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5F1672" w14:textId="77777777" w:rsidR="000A22E5" w:rsidRPr="00C633E7" w:rsidRDefault="001B039E" w:rsidP="000A22E5">
                            <w:pPr>
                              <w:jc w:val="center"/>
                              <w:rPr>
                                <w:rFonts w:ascii="Arial" w:hAnsi="Arial" w:cs="Arial"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 w:rsidRPr="00C633E7">
                              <w:rPr>
                                <w:rFonts w:ascii="Arial" w:hAnsi="Arial" w:cs="Arial"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© 20</w:t>
                            </w:r>
                            <w:r w:rsidR="005455C0" w:rsidRPr="00C633E7">
                              <w:rPr>
                                <w:rFonts w:ascii="Arial" w:hAnsi="Arial" w:cs="Arial"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2</w:t>
                            </w:r>
                            <w:r w:rsidR="00002334">
                              <w:rPr>
                                <w:rFonts w:ascii="Arial" w:hAnsi="Arial" w:cs="Arial"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1</w:t>
                            </w:r>
                            <w:r w:rsidRPr="00C633E7">
                              <w:rPr>
                                <w:rFonts w:ascii="Arial" w:hAnsi="Arial" w:cs="Arial"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 xml:space="preserve"> Zywave, Inc. All rights reserved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6" type="#_x0000_t202" style="width:163.1pt;height:16.55pt;margin-top:764.25pt;margin-left:12pt;mso-height-percent:0;mso-height-relative:margin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v-text-anchor:top;z-index:-251654144" filled="f" stroked="f" strokeweight="0.5pt">
                <v:textbox>
                  <w:txbxContent>
                    <w:p w:rsidR="000A22E5" w:rsidRPr="00C633E7" w:rsidP="000A22E5">
                      <w:pPr>
                        <w:jc w:val="center"/>
                        <w:rPr>
                          <w:rFonts w:ascii="Arial" w:hAnsi="Arial" w:cs="Arial"/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 w:rsidRPr="00C633E7">
                        <w:rPr>
                          <w:rFonts w:ascii="Arial" w:hAnsi="Arial" w:cs="Arial"/>
                          <w:color w:val="BFBFBF" w:themeColor="background1" w:themeShade="BF"/>
                          <w:sz w:val="16"/>
                          <w:szCs w:val="16"/>
                        </w:rPr>
                        <w:t>© 20</w:t>
                      </w:r>
                      <w:r w:rsidRPr="00C633E7" w:rsidR="005455C0">
                        <w:rPr>
                          <w:rFonts w:ascii="Arial" w:hAnsi="Arial" w:cs="Arial"/>
                          <w:color w:val="BFBFBF" w:themeColor="background1" w:themeShade="BF"/>
                          <w:sz w:val="16"/>
                          <w:szCs w:val="16"/>
                        </w:rPr>
                        <w:t>2</w:t>
                      </w:r>
                      <w:r w:rsidR="00002334">
                        <w:rPr>
                          <w:rFonts w:ascii="Arial" w:hAnsi="Arial" w:cs="Arial"/>
                          <w:color w:val="BFBFBF" w:themeColor="background1" w:themeShade="BF"/>
                          <w:sz w:val="16"/>
                          <w:szCs w:val="16"/>
                        </w:rPr>
                        <w:t>1</w:t>
                      </w:r>
                      <w:r w:rsidRPr="00C633E7">
                        <w:rPr>
                          <w:rFonts w:ascii="Arial" w:hAnsi="Arial" w:cs="Arial"/>
                          <w:color w:val="BFBFBF" w:themeColor="background1" w:themeShade="BF"/>
                          <w:sz w:val="16"/>
                          <w:szCs w:val="16"/>
                        </w:rPr>
                        <w:t xml:space="preserve"> Zywave, Inc. All rights reserved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33E7" w:rsidRPr="00D001D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8D6BDE" wp14:editId="2C7000A3">
                <wp:simplePos x="0" y="0"/>
                <wp:positionH relativeFrom="margin">
                  <wp:align>left</wp:align>
                </wp:positionH>
                <wp:positionV relativeFrom="page">
                  <wp:posOffset>9295814</wp:posOffset>
                </wp:positionV>
                <wp:extent cx="2426335" cy="4572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633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CFFA9" w14:textId="77777777" w:rsidR="00CB25AA" w:rsidRPr="00CB25AA" w:rsidRDefault="001B039E" w:rsidP="00F90E5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</w:rPr>
                              <w:t>Provided to Y</w:t>
                            </w:r>
                            <w:r w:rsidRPr="00CB25AA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</w:rPr>
                              <w:t>ou by</w:t>
                            </w:r>
                          </w:p>
                          <w:p w14:paraId="2948CC6A" w14:textId="77777777" w:rsidR="00CB25AA" w:rsidRPr="0051484C" w:rsidRDefault="001B039E" w:rsidP="00F90E5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51484C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The Richards 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width:191.05pt;height:36pt;margin-top:731.95pt;margin-left:0;mso-height-percent:0;mso-height-relative:margin;mso-position-horizontal:left;mso-position-horizontal-relative:margin;mso-position-vertical-relative:page;mso-width-percent:0;mso-width-relative:margin;mso-wrap-distance-bottom:0;mso-wrap-distance-left:9pt;mso-wrap-distance-right:9pt;mso-wrap-distance-top:0;position:absolute;v-text-anchor:top;z-index:251659264" filled="f" fillcolor="this" stroked="f" strokeweight="0.5pt">
                <v:textbox>
                  <w:txbxContent>
                    <w:p w:rsidR="00CB25AA" w:rsidRPr="00CB25AA" w:rsidP="00F90E5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</w:rPr>
                        <w:t>Provided to Y</w:t>
                      </w:r>
                      <w:r w:rsidRPr="00CB25AA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</w:rPr>
                        <w:t>ou by</w:t>
                      </w:r>
                    </w:p>
                    <w:p w:rsidR="00CB25AA" w:rsidRPr="0051484C" w:rsidP="00F90E5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51484C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  <w:t>The Richards Group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5AA1">
        <w:br w:type="column"/>
      </w:r>
      <w:r w:rsidRPr="005A6084">
        <w:t>plan years ending in 2021 and 2022, or to extend the permissible grace period to plan years over the same period.</w:t>
      </w:r>
    </w:p>
    <w:p w14:paraId="5FFC2D6F" w14:textId="77777777" w:rsidR="005A6084" w:rsidRDefault="001B039E" w:rsidP="005A6084">
      <w:pPr>
        <w:pStyle w:val="Body"/>
        <w:sectPr w:rsidR="005A6084" w:rsidSect="00D637D5">
          <w:type w:val="continuous"/>
          <w:pgSz w:w="12240" w:h="15840"/>
          <w:pgMar w:top="432" w:right="720" w:bottom="1440" w:left="3372" w:header="720" w:footer="720" w:gutter="0"/>
          <w:cols w:num="2" w:space="245"/>
          <w:docGrid w:linePitch="360"/>
        </w:sectPr>
      </w:pPr>
      <w:r>
        <w:t>Specifically, if these dependent care benefits w</w:t>
      </w:r>
      <w:r>
        <w:t xml:space="preserve">ould have been excluded from income if used during taxable year 2020 (or 2021, if applicable), these benefits will </w:t>
      </w:r>
      <w:r w:rsidRPr="005A6084">
        <w:rPr>
          <w:b/>
        </w:rPr>
        <w:t>remain excludible</w:t>
      </w:r>
      <w:r>
        <w:t xml:space="preserve"> from gross income and are not considered wages of the employee for 2021 and 2022. They will also generally </w:t>
      </w:r>
      <w:r w:rsidRPr="005A6084">
        <w:rPr>
          <w:b/>
        </w:rPr>
        <w:t>not be taken int</w:t>
      </w:r>
      <w:r w:rsidRPr="005A6084">
        <w:rPr>
          <w:b/>
        </w:rPr>
        <w:t>o account</w:t>
      </w:r>
      <w:r>
        <w:t xml:space="preserve"> for purposes of applying the exclusion limits of Internal Revenue Code Section 129.</w:t>
      </w:r>
      <w:r w:rsidRPr="005A6084">
        <w:t xml:space="preserve"> </w:t>
      </w:r>
    </w:p>
    <w:p w14:paraId="6867F5AE" w14:textId="77777777" w:rsidR="005A6084" w:rsidRDefault="005A6084" w:rsidP="005A6084">
      <w:pPr>
        <w:pStyle w:val="Body"/>
        <w:spacing w:after="0"/>
      </w:pPr>
    </w:p>
    <w:p w14:paraId="774905CD" w14:textId="77777777" w:rsidR="005A6084" w:rsidRDefault="005A6084" w:rsidP="005A6084">
      <w:pPr>
        <w:pStyle w:val="1Header"/>
        <w:spacing w:after="0"/>
        <w:sectPr w:rsidR="005A6084" w:rsidSect="00D637D5">
          <w:type w:val="continuous"/>
          <w:pgSz w:w="12240" w:h="15840"/>
          <w:pgMar w:top="432" w:right="720" w:bottom="1440" w:left="3372" w:header="720" w:footer="720" w:gutter="0"/>
          <w:cols w:num="2" w:space="245"/>
          <w:docGrid w:linePitch="360"/>
        </w:sectPr>
      </w:pPr>
    </w:p>
    <w:p w14:paraId="47707166" w14:textId="77777777" w:rsidR="005A6084" w:rsidRDefault="001B039E" w:rsidP="00002334">
      <w:pPr>
        <w:pStyle w:val="1Header"/>
        <w:spacing w:after="120"/>
        <w:sectPr w:rsidR="005A6084" w:rsidSect="00C95AA1">
          <w:type w:val="continuous"/>
          <w:pgSz w:w="12240" w:h="15840"/>
          <w:pgMar w:top="432" w:right="720" w:bottom="1440" w:left="3372" w:header="720" w:footer="720" w:gutter="0"/>
          <w:cols w:space="245"/>
          <w:docGrid w:linePitch="360"/>
        </w:sectPr>
      </w:pPr>
      <w:r>
        <w:t>Remainder of 2022 Payment Notice Finalized</w:t>
      </w:r>
    </w:p>
    <w:p w14:paraId="3FBB2D7F" w14:textId="77777777" w:rsidR="005A6084" w:rsidRDefault="001B039E" w:rsidP="005A6084">
      <w:pPr>
        <w:pStyle w:val="Body"/>
      </w:pPr>
      <w:r>
        <w:t xml:space="preserve">On May 5, 2021, the Department of Health and Human Services (HHS) published a </w:t>
      </w:r>
      <w:hyperlink r:id="rId13" w:history="1">
        <w:r w:rsidRPr="00002334">
          <w:rPr>
            <w:rStyle w:val="Hyperlink"/>
          </w:rPr>
          <w:t xml:space="preserve">second </w:t>
        </w:r>
        <w:r w:rsidRPr="00002334">
          <w:rPr>
            <w:rStyle w:val="Hyperlink"/>
          </w:rPr>
          <w:t>Notice of Benefit and Payment Parameters (NBPP) for 2022</w:t>
        </w:r>
      </w:hyperlink>
      <w:r>
        <w:t xml:space="preserve"> that finalized the remainder of the standards included in the proposed notice issued at the end of 2020. The </w:t>
      </w:r>
      <w:hyperlink r:id="rId14" w:history="1">
        <w:r w:rsidRPr="00002334">
          <w:rPr>
            <w:rStyle w:val="Hyperlink"/>
          </w:rPr>
          <w:t>first</w:t>
        </w:r>
        <w:r w:rsidRPr="00002334">
          <w:rPr>
            <w:rStyle w:val="Hyperlink"/>
          </w:rPr>
          <w:t xml:space="preserve"> final 2022 NBPP</w:t>
        </w:r>
      </w:hyperlink>
      <w:r>
        <w:t xml:space="preserve"> was published Jan. 19, 2021.</w:t>
      </w:r>
    </w:p>
    <w:p w14:paraId="0ACD3A01" w14:textId="77777777" w:rsidR="00002334" w:rsidRDefault="001B039E" w:rsidP="00002334">
      <w:pPr>
        <w:pStyle w:val="Body"/>
      </w:pPr>
      <w:r>
        <w:t>This second NBPP describes additional benefit and payment parameters under the Affordable Care Act (ACA) that apply for the 2022 benefit year, including the following:</w:t>
      </w:r>
    </w:p>
    <w:p w14:paraId="7E36FC2B" w14:textId="77777777" w:rsidR="00002334" w:rsidRDefault="001B039E" w:rsidP="00002334">
      <w:pPr>
        <w:pStyle w:val="BulletList"/>
      </w:pPr>
      <w:r>
        <w:t xml:space="preserve">The annual out-of-pocket maximum limit </w:t>
      </w:r>
      <w:r>
        <w:t xml:space="preserve">will increase to </w:t>
      </w:r>
      <w:r w:rsidRPr="00002334">
        <w:rPr>
          <w:b/>
        </w:rPr>
        <w:t>$8,700</w:t>
      </w:r>
      <w:r>
        <w:t xml:space="preserve"> (self-only coverage) or </w:t>
      </w:r>
      <w:r w:rsidRPr="00002334">
        <w:rPr>
          <w:b/>
        </w:rPr>
        <w:t>$17,400</w:t>
      </w:r>
      <w:r>
        <w:t xml:space="preserve"> (family coverage).</w:t>
      </w:r>
    </w:p>
    <w:p w14:paraId="1E750C96" w14:textId="77777777" w:rsidR="00002334" w:rsidRDefault="001B039E" w:rsidP="00002334">
      <w:pPr>
        <w:pStyle w:val="BulletList"/>
      </w:pPr>
      <w:r>
        <w:t xml:space="preserve">The required contribution percentage for catastrophic coverage eligibility will decrease to </w:t>
      </w:r>
      <w:r w:rsidRPr="00002334">
        <w:rPr>
          <w:b/>
        </w:rPr>
        <w:t>8.09%</w:t>
      </w:r>
      <w:r>
        <w:t>.</w:t>
      </w:r>
    </w:p>
    <w:p w14:paraId="0B709FDA" w14:textId="77777777" w:rsidR="00C95AA1" w:rsidRPr="00D001DF" w:rsidRDefault="001B039E" w:rsidP="00002334">
      <w:pPr>
        <w:pStyle w:val="BulletList"/>
      </w:pPr>
      <w:r>
        <w:t>An additional special enrollment period (SEP) for Exchange coverage for certain Ex</w:t>
      </w:r>
      <w:r>
        <w:t>change enrollees who lose premium tax credit eligibility.</w:t>
      </w:r>
    </w:p>
    <w:sectPr w:rsidR="00C95AA1" w:rsidRPr="00D001DF" w:rsidSect="00C95AA1">
      <w:type w:val="continuous"/>
      <w:pgSz w:w="12240" w:h="15840"/>
      <w:pgMar w:top="432" w:right="720" w:bottom="1440" w:left="3372" w:header="720" w:footer="720" w:gutter="0"/>
      <w:cols w:num="2" w:space="24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EE67CD" w14:textId="77777777" w:rsidR="00000000" w:rsidRDefault="001B039E">
      <w:pPr>
        <w:spacing w:after="0" w:line="240" w:lineRule="auto"/>
      </w:pPr>
      <w:r>
        <w:separator/>
      </w:r>
    </w:p>
  </w:endnote>
  <w:endnote w:type="continuationSeparator" w:id="0">
    <w:p w14:paraId="226BEA6F" w14:textId="77777777" w:rsidR="00000000" w:rsidRDefault="001B0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D530A6" w14:textId="77777777" w:rsidR="00000000" w:rsidRDefault="001B039E">
      <w:pPr>
        <w:spacing w:after="0" w:line="240" w:lineRule="auto"/>
      </w:pPr>
      <w:r>
        <w:separator/>
      </w:r>
    </w:p>
  </w:footnote>
  <w:footnote w:type="continuationSeparator" w:id="0">
    <w:p w14:paraId="06F2FF90" w14:textId="77777777" w:rsidR="00000000" w:rsidRDefault="001B03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7DEC51" w14:textId="77777777" w:rsidR="008D0E14" w:rsidRDefault="001B039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6578D6A" wp14:editId="57D8F858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ge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64378"/>
    <w:multiLevelType w:val="hybridMultilevel"/>
    <w:tmpl w:val="4A6CA8A0"/>
    <w:lvl w:ilvl="0" w:tplc="7E7A81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DA8B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D0D5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58B8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78EA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B2E4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A4F8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F25C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D4C2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40810"/>
    <w:multiLevelType w:val="hybridMultilevel"/>
    <w:tmpl w:val="EA8A3228"/>
    <w:lvl w:ilvl="0" w:tplc="2BB658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BC38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E830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5011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5C40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1E73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BCFA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2227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3E06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531B8"/>
    <w:multiLevelType w:val="hybridMultilevel"/>
    <w:tmpl w:val="2FBCC732"/>
    <w:lvl w:ilvl="0" w:tplc="F510F9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62BD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4C2C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9846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EEB8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C0F9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9268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3831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05F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95092"/>
    <w:multiLevelType w:val="hybridMultilevel"/>
    <w:tmpl w:val="8F4CFAF2"/>
    <w:lvl w:ilvl="0" w:tplc="62BAFA86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8ECF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AC5B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6487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66C7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370F7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A4FC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3417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4AFE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C5AEA"/>
    <w:multiLevelType w:val="hybridMultilevel"/>
    <w:tmpl w:val="A56810E2"/>
    <w:lvl w:ilvl="0" w:tplc="8858343A">
      <w:start w:val="1"/>
      <w:numFmt w:val="decimal"/>
      <w:pStyle w:val="NumberedList"/>
      <w:lvlText w:val="%1."/>
      <w:lvlJc w:val="left"/>
      <w:pPr>
        <w:ind w:left="810" w:hanging="360"/>
      </w:pPr>
      <w:rPr>
        <w:rFonts w:hint="default"/>
        <w:b/>
        <w:i w:val="0"/>
      </w:rPr>
    </w:lvl>
    <w:lvl w:ilvl="1" w:tplc="E86AB43E" w:tentative="1">
      <w:start w:val="1"/>
      <w:numFmt w:val="lowerLetter"/>
      <w:lvlText w:val="%2."/>
      <w:lvlJc w:val="left"/>
      <w:pPr>
        <w:ind w:left="1530" w:hanging="360"/>
      </w:pPr>
    </w:lvl>
    <w:lvl w:ilvl="2" w:tplc="412471E0" w:tentative="1">
      <w:start w:val="1"/>
      <w:numFmt w:val="lowerRoman"/>
      <w:lvlText w:val="%3."/>
      <w:lvlJc w:val="right"/>
      <w:pPr>
        <w:ind w:left="2250" w:hanging="180"/>
      </w:pPr>
    </w:lvl>
    <w:lvl w:ilvl="3" w:tplc="00DAF58E" w:tentative="1">
      <w:start w:val="1"/>
      <w:numFmt w:val="decimal"/>
      <w:lvlText w:val="%4."/>
      <w:lvlJc w:val="left"/>
      <w:pPr>
        <w:ind w:left="2970" w:hanging="360"/>
      </w:pPr>
    </w:lvl>
    <w:lvl w:ilvl="4" w:tplc="0538B4C0" w:tentative="1">
      <w:start w:val="1"/>
      <w:numFmt w:val="lowerLetter"/>
      <w:lvlText w:val="%5."/>
      <w:lvlJc w:val="left"/>
      <w:pPr>
        <w:ind w:left="3690" w:hanging="360"/>
      </w:pPr>
    </w:lvl>
    <w:lvl w:ilvl="5" w:tplc="C8EEFA7A" w:tentative="1">
      <w:start w:val="1"/>
      <w:numFmt w:val="lowerRoman"/>
      <w:lvlText w:val="%6."/>
      <w:lvlJc w:val="right"/>
      <w:pPr>
        <w:ind w:left="4410" w:hanging="180"/>
      </w:pPr>
    </w:lvl>
    <w:lvl w:ilvl="6" w:tplc="BA24833E" w:tentative="1">
      <w:start w:val="1"/>
      <w:numFmt w:val="decimal"/>
      <w:lvlText w:val="%7."/>
      <w:lvlJc w:val="left"/>
      <w:pPr>
        <w:ind w:left="5130" w:hanging="360"/>
      </w:pPr>
    </w:lvl>
    <w:lvl w:ilvl="7" w:tplc="782A6FCA" w:tentative="1">
      <w:start w:val="1"/>
      <w:numFmt w:val="lowerLetter"/>
      <w:lvlText w:val="%8."/>
      <w:lvlJc w:val="left"/>
      <w:pPr>
        <w:ind w:left="5850" w:hanging="360"/>
      </w:pPr>
    </w:lvl>
    <w:lvl w:ilvl="8" w:tplc="3B602C94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62CF7BF7"/>
    <w:multiLevelType w:val="hybridMultilevel"/>
    <w:tmpl w:val="3062703C"/>
    <w:lvl w:ilvl="0" w:tplc="6DA4B5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28BC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700F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AAD8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068A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CA1D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E0C6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C2AB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EEC5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5D6A28"/>
    <w:multiLevelType w:val="hybridMultilevel"/>
    <w:tmpl w:val="F22E57F0"/>
    <w:lvl w:ilvl="0" w:tplc="736C99FA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68E03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EA11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0E61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4AE1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4ED7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E646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EC09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3E8B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084"/>
    <w:rsid w:val="00002334"/>
    <w:rsid w:val="00096676"/>
    <w:rsid w:val="000A1A7C"/>
    <w:rsid w:val="000A22E5"/>
    <w:rsid w:val="000F08E0"/>
    <w:rsid w:val="000F498F"/>
    <w:rsid w:val="001213A0"/>
    <w:rsid w:val="00137036"/>
    <w:rsid w:val="00185FD8"/>
    <w:rsid w:val="001932BA"/>
    <w:rsid w:val="001A6F73"/>
    <w:rsid w:val="001B039E"/>
    <w:rsid w:val="001F619A"/>
    <w:rsid w:val="0020115E"/>
    <w:rsid w:val="002A5EBE"/>
    <w:rsid w:val="002B67A3"/>
    <w:rsid w:val="002B6B23"/>
    <w:rsid w:val="002F38B6"/>
    <w:rsid w:val="003544B1"/>
    <w:rsid w:val="00391CD4"/>
    <w:rsid w:val="004431DE"/>
    <w:rsid w:val="00450F07"/>
    <w:rsid w:val="0045285D"/>
    <w:rsid w:val="004B0128"/>
    <w:rsid w:val="0051484C"/>
    <w:rsid w:val="0053575D"/>
    <w:rsid w:val="005455C0"/>
    <w:rsid w:val="005A6084"/>
    <w:rsid w:val="005C367E"/>
    <w:rsid w:val="005D59F3"/>
    <w:rsid w:val="00607E4B"/>
    <w:rsid w:val="0064631E"/>
    <w:rsid w:val="006B7630"/>
    <w:rsid w:val="00736302"/>
    <w:rsid w:val="00792C11"/>
    <w:rsid w:val="00792F89"/>
    <w:rsid w:val="007C66EC"/>
    <w:rsid w:val="007F2447"/>
    <w:rsid w:val="008265F1"/>
    <w:rsid w:val="00841C46"/>
    <w:rsid w:val="008A0B9A"/>
    <w:rsid w:val="008A740E"/>
    <w:rsid w:val="008B636A"/>
    <w:rsid w:val="008D0E14"/>
    <w:rsid w:val="008F5DE8"/>
    <w:rsid w:val="00912334"/>
    <w:rsid w:val="009365E5"/>
    <w:rsid w:val="00951DDB"/>
    <w:rsid w:val="0096300C"/>
    <w:rsid w:val="00970778"/>
    <w:rsid w:val="00974F0E"/>
    <w:rsid w:val="00986B93"/>
    <w:rsid w:val="009C336C"/>
    <w:rsid w:val="00A1062C"/>
    <w:rsid w:val="00A16E52"/>
    <w:rsid w:val="00A30C21"/>
    <w:rsid w:val="00A31CBE"/>
    <w:rsid w:val="00A57169"/>
    <w:rsid w:val="00A62634"/>
    <w:rsid w:val="00AD027A"/>
    <w:rsid w:val="00B129E0"/>
    <w:rsid w:val="00B2035A"/>
    <w:rsid w:val="00B27928"/>
    <w:rsid w:val="00B36F37"/>
    <w:rsid w:val="00B85464"/>
    <w:rsid w:val="00BB5DB5"/>
    <w:rsid w:val="00BC1289"/>
    <w:rsid w:val="00C028FB"/>
    <w:rsid w:val="00C633E7"/>
    <w:rsid w:val="00C92443"/>
    <w:rsid w:val="00C95AA1"/>
    <w:rsid w:val="00CA7A2E"/>
    <w:rsid w:val="00CB25AA"/>
    <w:rsid w:val="00CC5EF1"/>
    <w:rsid w:val="00D001DF"/>
    <w:rsid w:val="00D47248"/>
    <w:rsid w:val="00D47D52"/>
    <w:rsid w:val="00D56A8B"/>
    <w:rsid w:val="00D6020C"/>
    <w:rsid w:val="00D637D5"/>
    <w:rsid w:val="00DC2EC9"/>
    <w:rsid w:val="00E17698"/>
    <w:rsid w:val="00E17D84"/>
    <w:rsid w:val="00E63837"/>
    <w:rsid w:val="00ED6866"/>
    <w:rsid w:val="00F02840"/>
    <w:rsid w:val="00F505DA"/>
    <w:rsid w:val="00F90E5E"/>
    <w:rsid w:val="00FA59F8"/>
    <w:rsid w:val="00FE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38BDE"/>
  <w15:chartTrackingRefBased/>
  <w15:docId w15:val="{E1653560-CDA7-4D34-B0B6-F1452B7B3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5A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ABD"/>
  </w:style>
  <w:style w:type="paragraph" w:styleId="Footer">
    <w:name w:val="footer"/>
    <w:basedOn w:val="Normal"/>
    <w:link w:val="FooterChar"/>
    <w:uiPriority w:val="99"/>
    <w:unhideWhenUsed/>
    <w:rsid w:val="00FE5A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ABD"/>
  </w:style>
  <w:style w:type="paragraph" w:customStyle="1" w:styleId="ArticleHeader">
    <w:name w:val="Article Header"/>
    <w:basedOn w:val="Normal"/>
    <w:link w:val="ArticleHeaderChar"/>
    <w:rsid w:val="000A1A7C"/>
    <w:pPr>
      <w:spacing w:after="0" w:line="240" w:lineRule="auto"/>
    </w:pPr>
    <w:rPr>
      <w:rFonts w:ascii="Arial" w:hAnsi="Arial" w:cs="Arial"/>
      <w:b/>
      <w:sz w:val="32"/>
      <w:szCs w:val="32"/>
    </w:rPr>
  </w:style>
  <w:style w:type="paragraph" w:customStyle="1" w:styleId="Subheader">
    <w:name w:val="Subheader"/>
    <w:basedOn w:val="Normal"/>
    <w:link w:val="SubheaderChar"/>
    <w:rsid w:val="000A1A7C"/>
    <w:pPr>
      <w:spacing w:after="0" w:line="240" w:lineRule="auto"/>
    </w:pPr>
    <w:rPr>
      <w:rFonts w:ascii="Arial" w:hAnsi="Arial" w:cs="Arial"/>
      <w:b/>
      <w:sz w:val="26"/>
      <w:szCs w:val="26"/>
    </w:rPr>
  </w:style>
  <w:style w:type="character" w:customStyle="1" w:styleId="ArticleHeaderChar">
    <w:name w:val="Article Header Char"/>
    <w:basedOn w:val="DefaultParagraphFont"/>
    <w:link w:val="ArticleHeader"/>
    <w:rsid w:val="000A1A7C"/>
    <w:rPr>
      <w:rFonts w:ascii="Arial" w:hAnsi="Arial" w:cs="Arial"/>
      <w:b/>
      <w:sz w:val="32"/>
      <w:szCs w:val="32"/>
    </w:rPr>
  </w:style>
  <w:style w:type="paragraph" w:customStyle="1" w:styleId="BulletedList">
    <w:name w:val="Bulleted List"/>
    <w:basedOn w:val="Normal"/>
    <w:link w:val="BulletedListChar"/>
    <w:rsid w:val="000A1A7C"/>
    <w:pPr>
      <w:numPr>
        <w:numId w:val="1"/>
      </w:numPr>
      <w:spacing w:after="0" w:line="240" w:lineRule="auto"/>
    </w:pPr>
    <w:rPr>
      <w:rFonts w:ascii="Arial" w:hAnsi="Arial" w:cs="Arial"/>
    </w:rPr>
  </w:style>
  <w:style w:type="character" w:customStyle="1" w:styleId="SubheaderChar">
    <w:name w:val="Subheader Char"/>
    <w:basedOn w:val="DefaultParagraphFont"/>
    <w:link w:val="Subheader"/>
    <w:rsid w:val="000A1A7C"/>
    <w:rPr>
      <w:rFonts w:ascii="Arial" w:hAnsi="Arial" w:cs="Arial"/>
      <w:b/>
      <w:sz w:val="26"/>
      <w:szCs w:val="26"/>
    </w:rPr>
  </w:style>
  <w:style w:type="paragraph" w:customStyle="1" w:styleId="NumberedList">
    <w:name w:val="Numbered List"/>
    <w:basedOn w:val="BulletedList"/>
    <w:link w:val="NumberedListChar"/>
    <w:rsid w:val="00841C46"/>
    <w:pPr>
      <w:numPr>
        <w:numId w:val="2"/>
      </w:numPr>
      <w:ind w:left="270" w:hanging="270"/>
    </w:pPr>
  </w:style>
  <w:style w:type="character" w:customStyle="1" w:styleId="BulletedListChar">
    <w:name w:val="Bulleted List Char"/>
    <w:basedOn w:val="DefaultParagraphFont"/>
    <w:link w:val="BulletedList"/>
    <w:rsid w:val="000A1A7C"/>
    <w:rPr>
      <w:rFonts w:ascii="Arial" w:hAnsi="Arial" w:cs="Arial"/>
    </w:rPr>
  </w:style>
  <w:style w:type="character" w:customStyle="1" w:styleId="NumberedListChar">
    <w:name w:val="Numbered List Char"/>
    <w:basedOn w:val="BulletedListChar"/>
    <w:link w:val="NumberedList"/>
    <w:rsid w:val="00841C46"/>
    <w:rPr>
      <w:rFonts w:ascii="Arial" w:hAnsi="Arial" w:cs="Arial"/>
    </w:rPr>
  </w:style>
  <w:style w:type="character" w:styleId="Hyperlink">
    <w:name w:val="Hyperlink"/>
    <w:basedOn w:val="DefaultParagraphFont"/>
    <w:uiPriority w:val="99"/>
    <w:unhideWhenUsed/>
    <w:rsid w:val="002B67A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2B67A3"/>
    <w:pPr>
      <w:spacing w:line="240" w:lineRule="auto"/>
      <w:ind w:left="720"/>
      <w:contextualSpacing/>
    </w:pPr>
    <w:rPr>
      <w:rFonts w:ascii="Arial" w:hAnsi="Arial" w:cs="Arial"/>
      <w:sz w:val="20"/>
    </w:rPr>
  </w:style>
  <w:style w:type="paragraph" w:customStyle="1" w:styleId="1Header">
    <w:name w:val="1 Header"/>
    <w:basedOn w:val="ArticleHeader"/>
    <w:link w:val="1HeaderChar"/>
    <w:qFormat/>
    <w:rsid w:val="000F498F"/>
    <w:pPr>
      <w:spacing w:after="160" w:line="192" w:lineRule="auto"/>
    </w:pPr>
    <w:rPr>
      <w:rFonts w:asciiTheme="minorHAnsi" w:hAnsiTheme="minorHAnsi" w:cstheme="minorHAnsi"/>
      <w:sz w:val="36"/>
    </w:rPr>
  </w:style>
  <w:style w:type="paragraph" w:customStyle="1" w:styleId="Body">
    <w:name w:val="Body"/>
    <w:basedOn w:val="Normal"/>
    <w:link w:val="BodyChar"/>
    <w:qFormat/>
    <w:rsid w:val="0053575D"/>
    <w:rPr>
      <w:rFonts w:cstheme="minorHAnsi"/>
    </w:rPr>
  </w:style>
  <w:style w:type="character" w:customStyle="1" w:styleId="1HeaderChar">
    <w:name w:val="1 Header Char"/>
    <w:basedOn w:val="ArticleHeaderChar"/>
    <w:link w:val="1Header"/>
    <w:rsid w:val="000F498F"/>
    <w:rPr>
      <w:rFonts w:ascii="Arial" w:hAnsi="Arial" w:cstheme="minorHAnsi"/>
      <w:b/>
      <w:sz w:val="36"/>
      <w:szCs w:val="32"/>
    </w:rPr>
  </w:style>
  <w:style w:type="paragraph" w:customStyle="1" w:styleId="BulletList">
    <w:name w:val="Bullet List"/>
    <w:basedOn w:val="Body"/>
    <w:link w:val="BulletListChar"/>
    <w:qFormat/>
    <w:rsid w:val="00185FD8"/>
    <w:pPr>
      <w:numPr>
        <w:numId w:val="6"/>
      </w:numPr>
      <w:spacing w:after="60"/>
      <w:ind w:left="273" w:hanging="187"/>
    </w:pPr>
  </w:style>
  <w:style w:type="character" w:customStyle="1" w:styleId="BodyChar">
    <w:name w:val="Body Char"/>
    <w:basedOn w:val="DefaultParagraphFont"/>
    <w:link w:val="Body"/>
    <w:rsid w:val="0053575D"/>
    <w:rPr>
      <w:rFonts w:cstheme="minorHAnsi"/>
    </w:rPr>
  </w:style>
  <w:style w:type="character" w:customStyle="1" w:styleId="BulletListChar">
    <w:name w:val="Bullet List Char"/>
    <w:basedOn w:val="BodyChar"/>
    <w:link w:val="BulletList"/>
    <w:rsid w:val="00185FD8"/>
    <w:rPr>
      <w:rFonts w:cstheme="minorHAnsi"/>
    </w:rPr>
  </w:style>
  <w:style w:type="paragraph" w:customStyle="1" w:styleId="2Header">
    <w:name w:val="2 Header"/>
    <w:basedOn w:val="Normal"/>
    <w:link w:val="2HeaderChar"/>
    <w:qFormat/>
    <w:rsid w:val="00C95AA1"/>
    <w:pPr>
      <w:spacing w:after="0"/>
    </w:pPr>
    <w:rPr>
      <w:rFonts w:cstheme="minorHAnsi"/>
      <w:b/>
    </w:rPr>
  </w:style>
  <w:style w:type="character" w:customStyle="1" w:styleId="2HeaderChar">
    <w:name w:val="2 Header Char"/>
    <w:basedOn w:val="DefaultParagraphFont"/>
    <w:link w:val="2Header"/>
    <w:rsid w:val="00C95AA1"/>
    <w:rPr>
      <w:rFonts w:cstheme="minorHAnsi"/>
      <w:b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A60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ederalregister.gov/public-inspection/2021-09102/patient-protection-and-affordable-care-act-notice-of-benefit-and-payment-parameters-for-2022-and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www.irs.gov/newsroom/new-law-provides-additional-flexibility-for-health-fsas-and-dependent-care-assistance-program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rs.gov/pub/irs-drop/n-21-26.pdf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irs.gov/pub/irs-drop/rp-21-25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info.gov/content/pkg/FR-2019-01-24/pdf/2019-00077.pdf" TargetMode="External"/><Relationship Id="rId14" Type="http://schemas.openxmlformats.org/officeDocument/2006/relationships/hyperlink" Target="https://www.govinfo.gov/content/pkg/FR-2021-01-19/pdf/2021-01175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Content%20Development\MASTER%20TEMPLATES\EB%20Content\_Archive%20-%20Old%20Templates%20and%20Series\Benefits%20Buzz\2021\TEMPLATE%20-%20Benefits%20Buzz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- Benefits Buzz</Template>
  <TotalTime>1</TotalTime>
  <Pages>1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Zywave</Company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Rollefson, Becca</dc:creator>
  <cp:lastModifiedBy>Charlotte</cp:lastModifiedBy>
  <cp:revision>2</cp:revision>
  <cp:lastPrinted>2020-10-07T17:13:00Z</cp:lastPrinted>
  <dcterms:created xsi:type="dcterms:W3CDTF">2021-06-01T15:37:00Z</dcterms:created>
  <dcterms:modified xsi:type="dcterms:W3CDTF">2021-06-01T15:37:00Z</dcterms:modified>
</cp:coreProperties>
</file>