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637D5" w:rsidRDefault="002F6DA7" w:rsidP="00D637D5">
      <w:pPr>
        <w:pStyle w:val="1Header"/>
        <w:sectPr w:rsidR="00D637D5" w:rsidSect="00FA59F8">
          <w:headerReference w:type="default" r:id="rId8"/>
          <w:type w:val="continuous"/>
          <w:pgSz w:w="12240" w:h="15840"/>
          <w:pgMar w:top="936" w:right="720" w:bottom="1440" w:left="3370" w:header="0" w:footer="720" w:gutter="0"/>
          <w:cols w:space="245"/>
          <w:docGrid w:linePitch="360"/>
        </w:sect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1" layoutInCell="1" allowOverlap="1">
            <wp:simplePos x="0" y="0"/>
            <wp:positionH relativeFrom="margin">
              <wp:posOffset>3175000</wp:posOffset>
            </wp:positionH>
            <wp:positionV relativeFrom="margin">
              <wp:posOffset>8128000</wp:posOffset>
            </wp:positionV>
            <wp:extent cx="1645923" cy="1120142"/>
            <wp:effectExtent l="0" t="0" r="0" b="0"/>
            <wp:wrapNone/>
            <wp:docPr id="100009" name="Picture 100009" descr="Broker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8704998" name="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45923" cy="11201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Non-</w:t>
      </w:r>
      <w:r w:rsidR="002E416B">
        <w:t>g</w:t>
      </w:r>
      <w:r>
        <w:t xml:space="preserve">randfathered </w:t>
      </w:r>
      <w:hyperlink r:id="rId10" w:history="1">
        <w:r w:rsidR="00F273DB">
          <w:t>Plans</w:t>
        </w:r>
      </w:hyperlink>
      <w:r w:rsidR="00F273DB">
        <w:t xml:space="preserve"> Must Cover COVID-19 Vaccine Without Cost-sharing Beginning in 2021</w:t>
      </w:r>
    </w:p>
    <w:p w:rsidR="00F51461" w:rsidRDefault="002F6DA7" w:rsidP="00F273DB">
      <w:pPr>
        <w:pStyle w:val="Body"/>
      </w:pPr>
      <w:bookmarkStart w:id="1" w:name="_Hlk59089206"/>
      <w:r>
        <w:t>On Dec. 11, 2020, t</w:t>
      </w:r>
      <w:r w:rsidR="00F273DB">
        <w:t xml:space="preserve">he Food and Drug Administration (FDA) issued an </w:t>
      </w:r>
      <w:hyperlink r:id="rId11" w:history="1">
        <w:r w:rsidR="00F273DB" w:rsidRPr="00F273DB">
          <w:rPr>
            <w:rStyle w:val="Hyperlink"/>
          </w:rPr>
          <w:t>Emergency Use Authorization</w:t>
        </w:r>
      </w:hyperlink>
      <w:r w:rsidR="00F273DB">
        <w:t xml:space="preserve"> (EUA) for </w:t>
      </w:r>
      <w:r w:rsidR="005D4A5B">
        <w:t xml:space="preserve">the </w:t>
      </w:r>
      <w:r w:rsidR="00F273DB">
        <w:t>Pfizer</w:t>
      </w:r>
      <w:r w:rsidR="0016116B" w:rsidRPr="0016116B">
        <w:t xml:space="preserve">-BioNTech </w:t>
      </w:r>
      <w:r w:rsidR="00F273DB">
        <w:t>COVID-19 vaccine.</w:t>
      </w:r>
      <w:r>
        <w:t xml:space="preserve"> </w:t>
      </w:r>
    </w:p>
    <w:p w:rsidR="00582214" w:rsidRDefault="002F6DA7" w:rsidP="00582214">
      <w:pPr>
        <w:pStyle w:val="Body"/>
      </w:pPr>
      <w:r>
        <w:t xml:space="preserve">The </w:t>
      </w:r>
      <w:r w:rsidR="00845F26">
        <w:t>next day</w:t>
      </w:r>
      <w:r>
        <w:t xml:space="preserve">, the </w:t>
      </w:r>
      <w:r w:rsidRPr="0083471B">
        <w:t xml:space="preserve">Advisory Committee on Immunization Practices (ACIP) </w:t>
      </w:r>
      <w:r w:rsidR="00F51461" w:rsidRPr="00F51461">
        <w:t>of the Centers for Disease Control and Prevention (CDC)</w:t>
      </w:r>
      <w:r w:rsidR="00F51461">
        <w:t xml:space="preserve"> </w:t>
      </w:r>
      <w:r w:rsidRPr="0083471B">
        <w:t>recommend</w:t>
      </w:r>
      <w:r w:rsidR="00F51461">
        <w:t>ed</w:t>
      </w:r>
      <w:r>
        <w:t xml:space="preserve"> use of the </w:t>
      </w:r>
      <w:r w:rsidRPr="0083471B">
        <w:t>vaccine</w:t>
      </w:r>
      <w:r>
        <w:t xml:space="preserve"> f</w:t>
      </w:r>
      <w:r w:rsidRPr="00582214">
        <w:t>or individuals 16 years of age and older</w:t>
      </w:r>
      <w:r>
        <w:t xml:space="preserve">. </w:t>
      </w:r>
    </w:p>
    <w:p w:rsidR="00845F26" w:rsidRDefault="002F6DA7" w:rsidP="00582214">
      <w:pPr>
        <w:pStyle w:val="Body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margin">
                  <wp:posOffset>-1537915</wp:posOffset>
                </wp:positionH>
                <wp:positionV relativeFrom="page">
                  <wp:posOffset>3650545</wp:posOffset>
                </wp:positionV>
                <wp:extent cx="2010487" cy="487045"/>
                <wp:effectExtent l="0" t="318" r="0" b="8572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2010487" cy="4870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92B52" w:rsidRPr="00092B52" w:rsidRDefault="002F6DA7" w:rsidP="00092B52">
                            <w:pPr>
                              <w:pStyle w:val="Header"/>
                              <w:jc w:val="center"/>
                              <w:rPr>
                                <w:b/>
                                <w:color w:val="63C7C6"/>
                                <w:sz w:val="36"/>
                                <w:szCs w:val="36"/>
                              </w:rPr>
                            </w:pPr>
                            <w:hyperlink r:id="rId12" w:history="1">
                              <w:r w:rsidRPr="00092B52">
                                <w:rPr>
                                  <w:b/>
                                  <w:color w:val="63C7C6"/>
                                  <w:sz w:val="36"/>
                                  <w:szCs w:val="36"/>
                                </w:rPr>
                                <w:t>JANUARY</w:t>
                              </w:r>
                            </w:hyperlink>
                            <w:r w:rsidRPr="00092B52">
                              <w:rPr>
                                <w:b/>
                                <w:color w:val="63C7C6"/>
                                <w:sz w:val="36"/>
                                <w:szCs w:val="36"/>
                              </w:rPr>
                              <w:t xml:space="preserve"> 202</w:t>
                            </w:r>
                            <w:r w:rsidR="002D1DDE">
                              <w:rPr>
                                <w:b/>
                                <w:color w:val="63C7C6"/>
                                <w:sz w:val="36"/>
                                <w:szCs w:val="36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5" type="#_x0000_t202" style="width:158.3pt;height:38.35pt;margin-top:287.45pt;margin-left:-121.1pt;mso-height-percent:0;mso-height-relative:margin;mso-position-horizontal-relative:margin;mso-position-vertical-relative:page;mso-width-percent:0;mso-width-relative:margin;mso-wrap-distance-bottom:0;mso-wrap-distance-left:9pt;mso-wrap-distance-right:9pt;mso-wrap-distance-top:0;mso-wrap-style:square;position:absolute;rotation:-90;visibility:visible;v-text-anchor:top;z-index:251664384" filled="f" stroked="f" strokeweight="0.5pt">
                <v:textbox inset="0,,0">
                  <w:txbxContent>
                    <w:p w:rsidR="00092B52" w:rsidRPr="00092B52" w:rsidP="00092B52" w14:paraId="250F0CD7" w14:textId="41C156D9">
                      <w:pPr>
                        <w:pStyle w:val="Header"/>
                        <w:jc w:val="center"/>
                        <w:rPr>
                          <w:b/>
                          <w:color w:val="63C7C6"/>
                          <w:sz w:val="36"/>
                          <w:szCs w:val="36"/>
                        </w:rPr>
                      </w:pPr>
                      <w:r>
                        <w:fldChar w:fldCharType="begin"/>
                      </w:r>
                      <w:r>
                        <w:instrText xml:space="preserve"> HYPERLINK "https://www.govinfo.gov/content/pkg/FR-2019-01-24/pdf/2019-00077.pdf" </w:instrText>
                      </w:r>
                      <w:r>
                        <w:fldChar w:fldCharType="separate"/>
                      </w:r>
                      <w:r w:rsidRPr="00092B52">
                        <w:rPr>
                          <w:b/>
                          <w:color w:val="63C7C6"/>
                          <w:sz w:val="36"/>
                          <w:szCs w:val="36"/>
                        </w:rPr>
                        <w:t>JANUARY</w:t>
                      </w:r>
                      <w:r>
                        <w:fldChar w:fldCharType="end"/>
                      </w:r>
                      <w:r w:rsidRPr="00092B52">
                        <w:rPr>
                          <w:b/>
                          <w:color w:val="63C7C6"/>
                          <w:sz w:val="36"/>
                          <w:szCs w:val="36"/>
                        </w:rPr>
                        <w:t xml:space="preserve"> 202</w:t>
                      </w:r>
                      <w:r w:rsidR="002D1DDE">
                        <w:rPr>
                          <w:b/>
                          <w:color w:val="63C7C6"/>
                          <w:sz w:val="36"/>
                          <w:szCs w:val="36"/>
                        </w:rP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45F26">
        <w:t xml:space="preserve">The FDA subsequently issued an </w:t>
      </w:r>
      <w:hyperlink r:id="rId13" w:history="1">
        <w:r w:rsidR="00845F26" w:rsidRPr="00845F26">
          <w:rPr>
            <w:rStyle w:val="Hyperlink"/>
          </w:rPr>
          <w:t>EUA</w:t>
        </w:r>
      </w:hyperlink>
      <w:r w:rsidR="00845F26">
        <w:t xml:space="preserve"> for the Moderna COVID-19 vaccine on Dec. 18, 2020</w:t>
      </w:r>
      <w:r w:rsidR="00A85556">
        <w:t xml:space="preserve">. </w:t>
      </w:r>
      <w:r w:rsidR="006B4082">
        <w:t>One day later, A</w:t>
      </w:r>
      <w:r w:rsidR="00845F26">
        <w:t>CIP recommended the u</w:t>
      </w:r>
      <w:r w:rsidR="00A85556">
        <w:t>s</w:t>
      </w:r>
      <w:r w:rsidR="00845F26">
        <w:t xml:space="preserve">e of the vaccine for individuals 18 years of age and older. </w:t>
      </w:r>
    </w:p>
    <w:p w:rsidR="006B4082" w:rsidRDefault="002F6DA7" w:rsidP="00582214">
      <w:pPr>
        <w:pStyle w:val="Body"/>
      </w:pPr>
      <w:r>
        <w:t>The ACIP recommendation</w:t>
      </w:r>
      <w:r w:rsidR="00A85556">
        <w:t xml:space="preserve"> </w:t>
      </w:r>
      <w:r>
        <w:t xml:space="preserve">of a vaccine triggers the requirement for non-grandfathered group </w:t>
      </w:r>
      <w:r w:rsidR="008E63D3">
        <w:t>h</w:t>
      </w:r>
      <w:r>
        <w:t>ealth plans</w:t>
      </w:r>
      <w:r w:rsidR="00C77C1D">
        <w:t xml:space="preserve"> and health insurance issuers</w:t>
      </w:r>
      <w:r>
        <w:t xml:space="preserve"> to cover the </w:t>
      </w:r>
    </w:p>
    <w:p w:rsidR="00582214" w:rsidRDefault="002F6DA7" w:rsidP="00582214">
      <w:pPr>
        <w:pStyle w:val="Body"/>
      </w:pPr>
      <w:r>
        <w:t>vaccine without cost</w:t>
      </w:r>
      <w:r w:rsidR="00D1542E">
        <w:t xml:space="preserve"> </w:t>
      </w:r>
      <w:r>
        <w:t>sharing under the Affor</w:t>
      </w:r>
      <w:r>
        <w:t>dable Care Act’s preventive care requirements.</w:t>
      </w:r>
      <w:bookmarkEnd w:id="1"/>
      <w:r>
        <w:t xml:space="preserve"> </w:t>
      </w:r>
    </w:p>
    <w:p w:rsidR="00F273DB" w:rsidRDefault="002F6DA7" w:rsidP="00F273DB">
      <w:pPr>
        <w:pStyle w:val="Body"/>
      </w:pPr>
      <w:bookmarkStart w:id="2" w:name="_Hlk59089267"/>
      <w:r w:rsidRPr="00F273DB">
        <w:t>Under the</w:t>
      </w:r>
      <w:r w:rsidR="008E63D3">
        <w:t xml:space="preserve"> Coronavirus Aid, Relief, and Economic Security Act (CARES Act)</w:t>
      </w:r>
      <w:r w:rsidRPr="00F273DB">
        <w:t xml:space="preserve">, </w:t>
      </w:r>
      <w:r w:rsidR="006B4082">
        <w:t>this coverage</w:t>
      </w:r>
      <w:r w:rsidRPr="00F273DB">
        <w:t xml:space="preserve"> must be provided within </w:t>
      </w:r>
      <w:r w:rsidRPr="00F273DB">
        <w:rPr>
          <w:b/>
        </w:rPr>
        <w:t>15 business days</w:t>
      </w:r>
      <w:r w:rsidRPr="00F273DB">
        <w:t xml:space="preserve"> after the recommendation is made.</w:t>
      </w:r>
      <w:r w:rsidR="00845F26">
        <w:t xml:space="preserve"> I</w:t>
      </w:r>
      <w:r>
        <w:t xml:space="preserve">t is understood that coverage of the </w:t>
      </w:r>
      <w:r w:rsidR="006B4082">
        <w:t>Pfizer</w:t>
      </w:r>
      <w:r w:rsidR="0016116B" w:rsidRPr="0016116B">
        <w:t xml:space="preserve">-BioNTech </w:t>
      </w:r>
      <w:r>
        <w:t xml:space="preserve">COVID-19 vaccine must begin no later than </w:t>
      </w:r>
      <w:r w:rsidRPr="00F273DB">
        <w:rPr>
          <w:b/>
        </w:rPr>
        <w:t>Jan. 1, 2021</w:t>
      </w:r>
      <w:r>
        <w:t>.</w:t>
      </w:r>
    </w:p>
    <w:p w:rsidR="008E63D3" w:rsidRDefault="002F6DA7" w:rsidP="00F273DB">
      <w:pPr>
        <w:pStyle w:val="Body"/>
      </w:pPr>
      <w:r>
        <w:t>Plans and carriers may choose to cover the vaccine</w:t>
      </w:r>
      <w:r w:rsidR="006B4082">
        <w:t>s</w:t>
      </w:r>
      <w:r>
        <w:t xml:space="preserve"> before this date. Grandfathered plans may also choose to cover the vaccine</w:t>
      </w:r>
      <w:r w:rsidR="006B4082">
        <w:t>s</w:t>
      </w:r>
      <w:r>
        <w:t xml:space="preserve">, and could be required to do so under state law or pursuant to </w:t>
      </w:r>
      <w:r>
        <w:t>the terms of an insurance policy.</w:t>
      </w:r>
    </w:p>
    <w:p w:rsidR="00C95AA1" w:rsidRDefault="002F6DA7" w:rsidP="00F273DB">
      <w:pPr>
        <w:pStyle w:val="Body"/>
      </w:pPr>
      <w:r>
        <w:t>For more information, contact The Richards Group today</w:t>
      </w:r>
      <w:r w:rsidR="00BF1492">
        <w:t>.</w:t>
      </w:r>
      <w:bookmarkEnd w:id="2"/>
    </w:p>
    <w:p w:rsidR="008E63D3" w:rsidRDefault="008E63D3" w:rsidP="00F273DB">
      <w:pPr>
        <w:pStyle w:val="Body"/>
        <w:sectPr w:rsidR="008E63D3" w:rsidSect="00D637D5">
          <w:type w:val="continuous"/>
          <w:pgSz w:w="12240" w:h="15840"/>
          <w:pgMar w:top="432" w:right="720" w:bottom="1440" w:left="3372" w:header="720" w:footer="720" w:gutter="0"/>
          <w:cols w:num="2" w:space="245"/>
          <w:docGrid w:linePitch="360"/>
        </w:sectPr>
      </w:pPr>
    </w:p>
    <w:p w:rsidR="00C95AA1" w:rsidRDefault="002F6DA7" w:rsidP="00C95AA1">
      <w:pPr>
        <w:pStyle w:val="1Header"/>
        <w:sectPr w:rsidR="00C95AA1" w:rsidSect="00C95AA1">
          <w:type w:val="continuous"/>
          <w:pgSz w:w="12240" w:h="15840"/>
          <w:pgMar w:top="432" w:right="720" w:bottom="1440" w:left="3372" w:header="720" w:footer="720" w:gutter="0"/>
          <w:cols w:space="245"/>
          <w:docGrid w:linePitch="360"/>
        </w:sectPr>
      </w:pPr>
      <w:r>
        <w:t xml:space="preserve">Final Rule </w:t>
      </w:r>
      <w:r w:rsidR="009661CC">
        <w:t xml:space="preserve">Allows Greater Flexibility for Grandfathered Plans </w:t>
      </w:r>
      <w:r w:rsidR="00D1542E">
        <w:t>U</w:t>
      </w:r>
      <w:r w:rsidR="009661CC">
        <w:t>nder the ACA</w:t>
      </w:r>
    </w:p>
    <w:p w:rsidR="00F273DB" w:rsidRDefault="002F6DA7" w:rsidP="00C95AA1">
      <w:pPr>
        <w:pStyle w:val="Body"/>
      </w:pPr>
      <w:r>
        <w:t xml:space="preserve">On Dec. </w:t>
      </w:r>
      <w:r w:rsidR="009661CC">
        <w:t>15</w:t>
      </w:r>
      <w:r>
        <w:t>, 2020</w:t>
      </w:r>
      <w:r w:rsidR="00C95AA1">
        <w:t xml:space="preserve">, the </w:t>
      </w:r>
      <w:r w:rsidR="009661CC">
        <w:t>Departments</w:t>
      </w:r>
      <w:r w:rsidR="001320AF">
        <w:t xml:space="preserve"> of Labor, Health and Human Services and the Treasury (Departments)</w:t>
      </w:r>
      <w:r w:rsidR="00C95AA1">
        <w:t xml:space="preserve"> published </w:t>
      </w:r>
      <w:r w:rsidR="009661CC" w:rsidRPr="000F7A78">
        <w:t xml:space="preserve">a </w:t>
      </w:r>
      <w:hyperlink r:id="rId14" w:history="1">
        <w:r w:rsidR="009661CC" w:rsidRPr="00165E9B">
          <w:rPr>
            <w:rStyle w:val="Hyperlink"/>
          </w:rPr>
          <w:t>final rule</w:t>
        </w:r>
      </w:hyperlink>
      <w:r w:rsidR="009661CC">
        <w:t xml:space="preserve"> that provides greater flexibility for grandfathered plans under the Affordable Care Act (ACA).</w:t>
      </w:r>
    </w:p>
    <w:p w:rsidR="00C95AA1" w:rsidRDefault="002F6DA7" w:rsidP="00C95AA1">
      <w:pPr>
        <w:pStyle w:val="Body"/>
      </w:pPr>
      <w:r w:rsidRPr="00165E9B">
        <w:t>A grandfathered plan is a group health plan or health insurance coverage that was in existence on March 23, 2010 (the date the ACA was passed)</w:t>
      </w:r>
      <w:r>
        <w:t>, that has not made certain prohibited changes to lose its grandfather status. G</w:t>
      </w:r>
      <w:r w:rsidRPr="00165E9B">
        <w:t xml:space="preserve">randfathered plans are exempt from certain </w:t>
      </w:r>
      <w:r>
        <w:t>ACA</w:t>
      </w:r>
      <w:r w:rsidRPr="00165E9B">
        <w:t xml:space="preserve"> requirements.</w:t>
      </w:r>
    </w:p>
    <w:p w:rsidR="00F273DB" w:rsidRDefault="002F6DA7" w:rsidP="009661CC">
      <w:pPr>
        <w:pStyle w:val="Body"/>
      </w:pPr>
      <w:r w:rsidRPr="00F273DB">
        <w:rPr>
          <w:b/>
          <w:i/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margin">
                  <wp:posOffset>152400</wp:posOffset>
                </wp:positionH>
                <wp:positionV relativeFrom="page">
                  <wp:posOffset>9705878</wp:posOffset>
                </wp:positionV>
                <wp:extent cx="2071370" cy="210185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1370" cy="2101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A22E5" w:rsidRPr="00C633E7" w:rsidRDefault="002F6DA7" w:rsidP="000A22E5">
                            <w:pPr>
                              <w:jc w:val="center"/>
                              <w:rPr>
                                <w:rFonts w:ascii="Arial" w:hAnsi="Arial" w:cs="Arial"/>
                                <w:color w:val="BFBFBF" w:themeColor="background1" w:themeShade="BF"/>
                                <w:sz w:val="16"/>
                                <w:szCs w:val="16"/>
                              </w:rPr>
                            </w:pPr>
                            <w:r w:rsidRPr="00C633E7">
                              <w:rPr>
                                <w:rFonts w:ascii="Arial" w:hAnsi="Arial" w:cs="Arial"/>
                                <w:color w:val="BFBFBF" w:themeColor="background1" w:themeShade="BF"/>
                                <w:sz w:val="16"/>
                                <w:szCs w:val="16"/>
                              </w:rPr>
                              <w:t>© 20</w:t>
                            </w:r>
                            <w:r w:rsidR="005455C0" w:rsidRPr="00C633E7">
                              <w:rPr>
                                <w:rFonts w:ascii="Arial" w:hAnsi="Arial" w:cs="Arial"/>
                                <w:color w:val="BFBFBF" w:themeColor="background1" w:themeShade="BF"/>
                                <w:sz w:val="16"/>
                                <w:szCs w:val="16"/>
                              </w:rPr>
                              <w:t>20</w:t>
                            </w:r>
                            <w:r w:rsidRPr="00C633E7">
                              <w:rPr>
                                <w:rFonts w:ascii="Arial" w:hAnsi="Arial" w:cs="Arial"/>
                                <w:color w:val="BFBFBF" w:themeColor="background1" w:themeShade="BF"/>
                                <w:sz w:val="16"/>
                                <w:szCs w:val="16"/>
                              </w:rPr>
                              <w:t xml:space="preserve"> Zywave, Inc. All rights reserved</w:t>
                            </w:r>
                            <w:r w:rsidR="00D1542E">
                              <w:rPr>
                                <w:rFonts w:ascii="Arial" w:hAnsi="Arial" w:cs="Arial"/>
                                <w:color w:val="BFBFBF" w:themeColor="background1" w:themeShade="BF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26" type="#_x0000_t202" style="width:163.1pt;height:16.55pt;margin-top:764.25pt;margin-left:12pt;mso-height-percent:0;mso-height-relative:margin;mso-position-horizontal-relative:margin;mso-position-vertical-relative:page;mso-width-percent:0;mso-width-relative:margin;mso-wrap-distance-bottom:0;mso-wrap-distance-left:9pt;mso-wrap-distance-right:9pt;mso-wrap-distance-top:0;mso-wrap-style:square;position:absolute;visibility:visible;v-text-anchor:top;z-index:-251654144" filled="f" stroked="f" strokeweight="0.5pt">
                <v:textbox>
                  <w:txbxContent>
                    <w:p w:rsidR="000A22E5" w:rsidRPr="00C633E7" w:rsidP="000A22E5" w14:paraId="469E7CAE" w14:textId="75F9C562">
                      <w:pPr>
                        <w:jc w:val="center"/>
                        <w:rPr>
                          <w:rFonts w:ascii="Arial" w:hAnsi="Arial" w:cs="Arial"/>
                          <w:color w:val="BFBFBF" w:themeColor="background1" w:themeShade="BF"/>
                          <w:sz w:val="16"/>
                          <w:szCs w:val="16"/>
                        </w:rPr>
                      </w:pPr>
                      <w:r w:rsidRPr="00C633E7">
                        <w:rPr>
                          <w:rFonts w:ascii="Arial" w:hAnsi="Arial" w:cs="Arial"/>
                          <w:color w:val="BFBFBF" w:themeColor="background1" w:themeShade="BF"/>
                          <w:sz w:val="16"/>
                          <w:szCs w:val="16"/>
                        </w:rPr>
                        <w:t>© 20</w:t>
                      </w:r>
                      <w:r w:rsidRPr="00C633E7" w:rsidR="005455C0">
                        <w:rPr>
                          <w:rFonts w:ascii="Arial" w:hAnsi="Arial" w:cs="Arial"/>
                          <w:color w:val="BFBFBF" w:themeColor="background1" w:themeShade="BF"/>
                          <w:sz w:val="16"/>
                          <w:szCs w:val="16"/>
                        </w:rPr>
                        <w:t>20</w:t>
                      </w:r>
                      <w:r w:rsidRPr="00C633E7">
                        <w:rPr>
                          <w:rFonts w:ascii="Arial" w:hAnsi="Arial" w:cs="Arial"/>
                          <w:color w:val="BFBFBF" w:themeColor="background1" w:themeShade="BF"/>
                          <w:sz w:val="16"/>
                          <w:szCs w:val="16"/>
                        </w:rPr>
                        <w:t xml:space="preserve"> Zywave, Inc. All rights reserved</w:t>
                      </w:r>
                      <w:r w:rsidR="00D1542E">
                        <w:rPr>
                          <w:rFonts w:ascii="Arial" w:hAnsi="Arial" w:cs="Arial"/>
                          <w:color w:val="BFBFBF" w:themeColor="background1" w:themeShade="BF"/>
                          <w:sz w:val="16"/>
                          <w:szCs w:val="16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273DB">
        <w:rPr>
          <w:b/>
          <w:i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ge">
                  <wp:posOffset>9295814</wp:posOffset>
                </wp:positionV>
                <wp:extent cx="2426335" cy="457200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6335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B25AA" w:rsidRPr="002C472B" w:rsidRDefault="002F6DA7" w:rsidP="00F90E5E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color w:val="404040" w:themeColor="text1" w:themeTint="BF"/>
                                <w:sz w:val="20"/>
                                <w:szCs w:val="20"/>
                              </w:rPr>
                            </w:pPr>
                            <w:r w:rsidRPr="002C472B">
                              <w:rPr>
                                <w:rFonts w:cstheme="minorHAnsi"/>
                                <w:color w:val="404040" w:themeColor="text1" w:themeTint="BF"/>
                                <w:sz w:val="20"/>
                                <w:szCs w:val="20"/>
                              </w:rPr>
                              <w:t>Provided to You by</w:t>
                            </w:r>
                          </w:p>
                          <w:p w:rsidR="00CB25AA" w:rsidRPr="002C472B" w:rsidRDefault="002F6DA7" w:rsidP="00F90E5E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b/>
                                <w:color w:val="404040" w:themeColor="text1" w:themeTint="BF"/>
                                <w:sz w:val="20"/>
                                <w:szCs w:val="20"/>
                              </w:rPr>
                            </w:pPr>
                            <w:r w:rsidRPr="002C472B">
                              <w:rPr>
                                <w:rFonts w:cstheme="minorHAnsi"/>
                                <w:b/>
                              </w:rPr>
                              <w:t>The Richards Group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" o:spid="_x0000_s1027" type="#_x0000_t202" style="width:191.05pt;height:36pt;margin-top:731.95pt;margin-left:0;mso-height-percent:0;mso-height-relative:margin;mso-position-horizontal:left;mso-position-horizontal-relative:margin;mso-position-vertical-relative:page;mso-width-percent:0;mso-width-relative:margin;mso-wrap-distance-bottom:0;mso-wrap-distance-left:9pt;mso-wrap-distance-right:9pt;mso-wrap-distance-top:0;position:absolute;v-text-anchor:top;z-index:251659264" filled="f" fillcolor="this" stroked="f" strokeweight="0.5pt">
                <v:textbox>
                  <w:txbxContent>
                    <w:p w:rsidR="00CB25AA" w:rsidRPr="002C472B" w:rsidP="00F90E5E" w14:paraId="35D26B1D" w14:textId="77777777">
                      <w:pPr>
                        <w:spacing w:after="0" w:line="240" w:lineRule="auto"/>
                        <w:jc w:val="center"/>
                        <w:rPr>
                          <w:rFonts w:cstheme="minorHAnsi"/>
                          <w:color w:val="404040" w:themeColor="text1" w:themeTint="BF"/>
                          <w:sz w:val="20"/>
                          <w:szCs w:val="20"/>
                        </w:rPr>
                      </w:pPr>
                      <w:r w:rsidRPr="002C472B">
                        <w:rPr>
                          <w:rFonts w:cstheme="minorHAnsi"/>
                          <w:color w:val="404040" w:themeColor="text1" w:themeTint="BF"/>
                          <w:sz w:val="20"/>
                          <w:szCs w:val="20"/>
                        </w:rPr>
                        <w:t>Provided to You by</w:t>
                      </w:r>
                    </w:p>
                    <w:p w:rsidR="00CB25AA" w:rsidRPr="002C472B" w:rsidP="00F90E5E" w14:paraId="6464060F" w14:textId="77777777">
                      <w:pPr>
                        <w:spacing w:after="0" w:line="240" w:lineRule="auto"/>
                        <w:jc w:val="center"/>
                        <w:rPr>
                          <w:rFonts w:cstheme="minorHAnsi"/>
                          <w:b/>
                          <w:color w:val="404040" w:themeColor="text1" w:themeTint="BF"/>
                          <w:sz w:val="20"/>
                          <w:szCs w:val="20"/>
                        </w:rPr>
                      </w:pPr>
                      <w:r w:rsidRPr="002C472B">
                        <w:rPr>
                          <w:rFonts w:cstheme="minorHAnsi"/>
                          <w:b/>
                        </w:rPr>
                        <w:t>The Richards Group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661CC" w:rsidRPr="009661CC">
        <w:t xml:space="preserve"> </w:t>
      </w:r>
      <w:r w:rsidR="009661CC">
        <w:t>The final rule:</w:t>
      </w:r>
    </w:p>
    <w:p w:rsidR="00845F26" w:rsidRDefault="002F6DA7" w:rsidP="00845F26">
      <w:pPr>
        <w:pStyle w:val="BulletList"/>
        <w:ind w:left="360" w:hanging="274"/>
      </w:pPr>
      <w:r>
        <w:t>Allows gr</w:t>
      </w:r>
      <w:r w:rsidRPr="00165E9B">
        <w:t xml:space="preserve">andfathered high deductible health plan (HDHP) </w:t>
      </w:r>
      <w:r>
        <w:t>coverage to</w:t>
      </w:r>
      <w:r w:rsidRPr="00165E9B">
        <w:t xml:space="preserve"> increase fixed-amount cost-sharing </w:t>
      </w:r>
    </w:p>
    <w:p w:rsidR="009661CC" w:rsidRDefault="002F6DA7" w:rsidP="00845F26">
      <w:pPr>
        <w:pStyle w:val="BulletList"/>
        <w:numPr>
          <w:ilvl w:val="0"/>
          <w:numId w:val="0"/>
        </w:numPr>
        <w:ind w:left="360"/>
      </w:pPr>
      <w:r w:rsidRPr="00165E9B">
        <w:t>requirements, such as deductibles, to the extent necessary to maintain its status as an HDHP without losing grandfather status</w:t>
      </w:r>
      <w:r>
        <w:t>; and</w:t>
      </w:r>
    </w:p>
    <w:p w:rsidR="009661CC" w:rsidRDefault="002F6DA7" w:rsidP="00845F26">
      <w:pPr>
        <w:pStyle w:val="BulletList"/>
        <w:ind w:left="360" w:hanging="274"/>
      </w:pPr>
      <w:r>
        <w:t xml:space="preserve">Provides </w:t>
      </w:r>
      <w:r w:rsidRPr="00165E9B">
        <w:t xml:space="preserve">an </w:t>
      </w:r>
      <w:r w:rsidRPr="00165E9B">
        <w:rPr>
          <w:b/>
        </w:rPr>
        <w:t>alternative metho</w:t>
      </w:r>
      <w:r w:rsidRPr="00165E9B">
        <w:rPr>
          <w:b/>
        </w:rPr>
        <w:t>d of measuring permitted increases in fixed-amount cost</w:t>
      </w:r>
      <w:r w:rsidR="00D1542E">
        <w:rPr>
          <w:b/>
        </w:rPr>
        <w:t xml:space="preserve"> </w:t>
      </w:r>
      <w:r w:rsidRPr="00165E9B">
        <w:rPr>
          <w:b/>
        </w:rPr>
        <w:t>sharing</w:t>
      </w:r>
      <w:r w:rsidRPr="00165E9B">
        <w:t xml:space="preserve"> that </w:t>
      </w:r>
      <w:r>
        <w:t xml:space="preserve">is intended to </w:t>
      </w:r>
      <w:r w:rsidRPr="00165E9B">
        <w:t>allow plans and issuers to better account for changes in the costs of health coverage over time.</w:t>
      </w:r>
    </w:p>
    <w:p w:rsidR="009661CC" w:rsidRDefault="002F6DA7" w:rsidP="00C95AA1">
      <w:pPr>
        <w:pStyle w:val="Body"/>
      </w:pPr>
      <w:r>
        <w:t>This additional flexibility may allow additional plans to maintain their gr</w:t>
      </w:r>
      <w:r>
        <w:t>andfather status, despite certain changes being made to the plan.</w:t>
      </w:r>
    </w:p>
    <w:p w:rsidR="00C95AA1" w:rsidRPr="00D001DF" w:rsidRDefault="002F6DA7" w:rsidP="00C95AA1">
      <w:pPr>
        <w:pStyle w:val="Body"/>
      </w:pPr>
      <w:r>
        <w:t xml:space="preserve">Contact us today to discuss the potential impact </w:t>
      </w:r>
      <w:r w:rsidR="009661CC">
        <w:t xml:space="preserve">that </w:t>
      </w:r>
      <w:r>
        <w:t xml:space="preserve">the </w:t>
      </w:r>
      <w:r w:rsidR="009661CC">
        <w:t>final</w:t>
      </w:r>
      <w:r>
        <w:t xml:space="preserve"> rule may have on your business.</w:t>
      </w:r>
    </w:p>
    <w:sectPr w:rsidR="00C95AA1" w:rsidRPr="00D001DF" w:rsidSect="00C95AA1">
      <w:type w:val="continuous"/>
      <w:pgSz w:w="12240" w:h="15840"/>
      <w:pgMar w:top="432" w:right="720" w:bottom="1440" w:left="3372" w:header="720" w:footer="720" w:gutter="0"/>
      <w:cols w:num="2" w:space="24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00000" w:rsidRDefault="002F6DA7">
      <w:pPr>
        <w:spacing w:after="0" w:line="240" w:lineRule="auto"/>
      </w:pPr>
      <w:r>
        <w:separator/>
      </w:r>
    </w:p>
  </w:endnote>
  <w:endnote w:type="continuationSeparator" w:id="0">
    <w:p w:rsidR="00000000" w:rsidRDefault="002F6D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00000" w:rsidRDefault="002F6DA7">
      <w:pPr>
        <w:spacing w:after="0" w:line="240" w:lineRule="auto"/>
      </w:pPr>
      <w:r>
        <w:separator/>
      </w:r>
    </w:p>
  </w:footnote>
  <w:footnote w:type="continuationSeparator" w:id="0">
    <w:p w:rsidR="00000000" w:rsidRDefault="002F6D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D0E14" w:rsidRDefault="002F6DA7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align>center</wp:align>
          </wp:positionH>
          <wp:positionV relativeFrom="page">
            <wp:align>top</wp:align>
          </wp:positionV>
          <wp:extent cx="7772400" cy="1005840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7903343" name="page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F64378"/>
    <w:multiLevelType w:val="hybridMultilevel"/>
    <w:tmpl w:val="4A6CA8A0"/>
    <w:lvl w:ilvl="0" w:tplc="CC22E14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ED221A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30485A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BA6031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F44D4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8EA91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146EC3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79265B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8E22BB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9531B8"/>
    <w:multiLevelType w:val="hybridMultilevel"/>
    <w:tmpl w:val="2FBCC732"/>
    <w:lvl w:ilvl="0" w:tplc="85DE17B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7E4133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9F8AD2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1E52C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BB810D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CA464B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1EE94D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6E0AA3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5AA72D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C95092"/>
    <w:multiLevelType w:val="hybridMultilevel"/>
    <w:tmpl w:val="8F4CFAF2"/>
    <w:lvl w:ilvl="0" w:tplc="0EC88E08">
      <w:start w:val="1"/>
      <w:numFmt w:val="bullet"/>
      <w:pStyle w:val="BulletLis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3CC433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736246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5F4D04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EC2E87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1FAEBB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6DA635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06272E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280C47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D0C5AEA"/>
    <w:multiLevelType w:val="hybridMultilevel"/>
    <w:tmpl w:val="A56810E2"/>
    <w:lvl w:ilvl="0" w:tplc="513A7DA6">
      <w:start w:val="1"/>
      <w:numFmt w:val="decimal"/>
      <w:pStyle w:val="NumberedList"/>
      <w:lvlText w:val="%1."/>
      <w:lvlJc w:val="left"/>
      <w:pPr>
        <w:ind w:left="810" w:hanging="360"/>
      </w:pPr>
      <w:rPr>
        <w:rFonts w:hint="default"/>
        <w:b/>
        <w:i w:val="0"/>
      </w:rPr>
    </w:lvl>
    <w:lvl w:ilvl="1" w:tplc="C5CE29E4" w:tentative="1">
      <w:start w:val="1"/>
      <w:numFmt w:val="lowerLetter"/>
      <w:lvlText w:val="%2."/>
      <w:lvlJc w:val="left"/>
      <w:pPr>
        <w:ind w:left="1530" w:hanging="360"/>
      </w:pPr>
    </w:lvl>
    <w:lvl w:ilvl="2" w:tplc="5EEAA5DE" w:tentative="1">
      <w:start w:val="1"/>
      <w:numFmt w:val="lowerRoman"/>
      <w:lvlText w:val="%3."/>
      <w:lvlJc w:val="right"/>
      <w:pPr>
        <w:ind w:left="2250" w:hanging="180"/>
      </w:pPr>
    </w:lvl>
    <w:lvl w:ilvl="3" w:tplc="B6C6520C" w:tentative="1">
      <w:start w:val="1"/>
      <w:numFmt w:val="decimal"/>
      <w:lvlText w:val="%4."/>
      <w:lvlJc w:val="left"/>
      <w:pPr>
        <w:ind w:left="2970" w:hanging="360"/>
      </w:pPr>
    </w:lvl>
    <w:lvl w:ilvl="4" w:tplc="25708B96" w:tentative="1">
      <w:start w:val="1"/>
      <w:numFmt w:val="lowerLetter"/>
      <w:lvlText w:val="%5."/>
      <w:lvlJc w:val="left"/>
      <w:pPr>
        <w:ind w:left="3690" w:hanging="360"/>
      </w:pPr>
    </w:lvl>
    <w:lvl w:ilvl="5" w:tplc="A2CE3644" w:tentative="1">
      <w:start w:val="1"/>
      <w:numFmt w:val="lowerRoman"/>
      <w:lvlText w:val="%6."/>
      <w:lvlJc w:val="right"/>
      <w:pPr>
        <w:ind w:left="4410" w:hanging="180"/>
      </w:pPr>
    </w:lvl>
    <w:lvl w:ilvl="6" w:tplc="21FC12F8" w:tentative="1">
      <w:start w:val="1"/>
      <w:numFmt w:val="decimal"/>
      <w:lvlText w:val="%7."/>
      <w:lvlJc w:val="left"/>
      <w:pPr>
        <w:ind w:left="5130" w:hanging="360"/>
      </w:pPr>
    </w:lvl>
    <w:lvl w:ilvl="7" w:tplc="245C65B6" w:tentative="1">
      <w:start w:val="1"/>
      <w:numFmt w:val="lowerLetter"/>
      <w:lvlText w:val="%8."/>
      <w:lvlJc w:val="left"/>
      <w:pPr>
        <w:ind w:left="5850" w:hanging="360"/>
      </w:pPr>
    </w:lvl>
    <w:lvl w:ilvl="8" w:tplc="6EB8056C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4" w15:restartNumberingAfterBreak="0">
    <w:nsid w:val="3A970455"/>
    <w:multiLevelType w:val="hybridMultilevel"/>
    <w:tmpl w:val="D7DA6634"/>
    <w:lvl w:ilvl="0" w:tplc="8558011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1AA85F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660CD8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99CCA8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D2248A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40EBB2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9C0CDC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4DEC59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0EC2C5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41E59AD"/>
    <w:multiLevelType w:val="hybridMultilevel"/>
    <w:tmpl w:val="0E7C19DE"/>
    <w:lvl w:ilvl="0" w:tplc="BD24C80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8C48DC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E4C81C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CC4BE6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CE2EDF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16C832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E27A1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D9240E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B88DFC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2CF7BF7"/>
    <w:multiLevelType w:val="hybridMultilevel"/>
    <w:tmpl w:val="3062703C"/>
    <w:lvl w:ilvl="0" w:tplc="840E79E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5E6B12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D98A0B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A548DB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D0640A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26026E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132D9A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E88EB0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A3ABB8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95D6A28"/>
    <w:multiLevelType w:val="hybridMultilevel"/>
    <w:tmpl w:val="F22E57F0"/>
    <w:lvl w:ilvl="0" w:tplc="4D88C300">
      <w:start w:val="1"/>
      <w:numFmt w:val="bullet"/>
      <w:pStyle w:val="BulletedLis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74A2FB2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23897B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3B03E0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7A67ED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B9C6B0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7A2A94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07E37D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EA2760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3"/>
  </w:num>
  <w:num w:numId="3">
    <w:abstractNumId w:val="1"/>
  </w:num>
  <w:num w:numId="4">
    <w:abstractNumId w:val="0"/>
  </w:num>
  <w:num w:numId="5">
    <w:abstractNumId w:val="6"/>
  </w:num>
  <w:num w:numId="6">
    <w:abstractNumId w:val="2"/>
  </w:num>
  <w:num w:numId="7">
    <w:abstractNumId w:val="4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attachedTemplate r:id="rId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TI3NDY1NzE0MTEDIiUdpeDU4uLM/DyQAqNaALPhs5MsAAAA"/>
  </w:docVars>
  <w:rsids>
    <w:rsidRoot w:val="00F273DB"/>
    <w:rsid w:val="00023A1D"/>
    <w:rsid w:val="00024E7E"/>
    <w:rsid w:val="0008670E"/>
    <w:rsid w:val="00092B52"/>
    <w:rsid w:val="00096676"/>
    <w:rsid w:val="000A1A7C"/>
    <w:rsid w:val="000A22E5"/>
    <w:rsid w:val="000B630F"/>
    <w:rsid w:val="000F08E0"/>
    <w:rsid w:val="000F498F"/>
    <w:rsid w:val="000F7A78"/>
    <w:rsid w:val="001213A0"/>
    <w:rsid w:val="001320AF"/>
    <w:rsid w:val="00137036"/>
    <w:rsid w:val="0016116B"/>
    <w:rsid w:val="00165E9B"/>
    <w:rsid w:val="00185FD8"/>
    <w:rsid w:val="001932BA"/>
    <w:rsid w:val="001A675B"/>
    <w:rsid w:val="001A6F73"/>
    <w:rsid w:val="001E736D"/>
    <w:rsid w:val="001F619A"/>
    <w:rsid w:val="0020115E"/>
    <w:rsid w:val="00270DDF"/>
    <w:rsid w:val="002A5EBE"/>
    <w:rsid w:val="002B67A3"/>
    <w:rsid w:val="002B6B23"/>
    <w:rsid w:val="002C472B"/>
    <w:rsid w:val="002D1DDE"/>
    <w:rsid w:val="002E416B"/>
    <w:rsid w:val="002F38B6"/>
    <w:rsid w:val="002F6DA7"/>
    <w:rsid w:val="0034107C"/>
    <w:rsid w:val="003544B1"/>
    <w:rsid w:val="00384348"/>
    <w:rsid w:val="00391CD4"/>
    <w:rsid w:val="003B2FFB"/>
    <w:rsid w:val="004431DE"/>
    <w:rsid w:val="00450F07"/>
    <w:rsid w:val="0045285D"/>
    <w:rsid w:val="00483337"/>
    <w:rsid w:val="004B0128"/>
    <w:rsid w:val="004F723B"/>
    <w:rsid w:val="0051484C"/>
    <w:rsid w:val="0053575D"/>
    <w:rsid w:val="005455C0"/>
    <w:rsid w:val="00582214"/>
    <w:rsid w:val="005D4A5B"/>
    <w:rsid w:val="005D59F3"/>
    <w:rsid w:val="00607E4B"/>
    <w:rsid w:val="00645293"/>
    <w:rsid w:val="0064631E"/>
    <w:rsid w:val="006B4082"/>
    <w:rsid w:val="006B7630"/>
    <w:rsid w:val="00723B27"/>
    <w:rsid w:val="00736302"/>
    <w:rsid w:val="00792C11"/>
    <w:rsid w:val="00792F89"/>
    <w:rsid w:val="007C66EC"/>
    <w:rsid w:val="008265F1"/>
    <w:rsid w:val="0083471B"/>
    <w:rsid w:val="00841C46"/>
    <w:rsid w:val="00845F26"/>
    <w:rsid w:val="00847F41"/>
    <w:rsid w:val="00891D87"/>
    <w:rsid w:val="008A0B9A"/>
    <w:rsid w:val="008A740E"/>
    <w:rsid w:val="008B636A"/>
    <w:rsid w:val="008D0E14"/>
    <w:rsid w:val="008E63D3"/>
    <w:rsid w:val="008F5DE8"/>
    <w:rsid w:val="00912334"/>
    <w:rsid w:val="00951DDB"/>
    <w:rsid w:val="0096300C"/>
    <w:rsid w:val="009661CC"/>
    <w:rsid w:val="00970778"/>
    <w:rsid w:val="00974F0E"/>
    <w:rsid w:val="00986B93"/>
    <w:rsid w:val="009C336C"/>
    <w:rsid w:val="00A1062C"/>
    <w:rsid w:val="00A16E52"/>
    <w:rsid w:val="00A2379F"/>
    <w:rsid w:val="00A30C21"/>
    <w:rsid w:val="00A31CBE"/>
    <w:rsid w:val="00A34F9E"/>
    <w:rsid w:val="00A57169"/>
    <w:rsid w:val="00A62634"/>
    <w:rsid w:val="00A72E0E"/>
    <w:rsid w:val="00A85556"/>
    <w:rsid w:val="00AD027A"/>
    <w:rsid w:val="00B129E0"/>
    <w:rsid w:val="00B2035A"/>
    <w:rsid w:val="00B27928"/>
    <w:rsid w:val="00B36F37"/>
    <w:rsid w:val="00B85464"/>
    <w:rsid w:val="00BB5DB5"/>
    <w:rsid w:val="00BC1289"/>
    <w:rsid w:val="00BF1492"/>
    <w:rsid w:val="00C028FB"/>
    <w:rsid w:val="00C633E7"/>
    <w:rsid w:val="00C77C1D"/>
    <w:rsid w:val="00C92443"/>
    <w:rsid w:val="00C95AA1"/>
    <w:rsid w:val="00CA7A2E"/>
    <w:rsid w:val="00CB25AA"/>
    <w:rsid w:val="00CC5EF1"/>
    <w:rsid w:val="00D001DF"/>
    <w:rsid w:val="00D1542E"/>
    <w:rsid w:val="00D47248"/>
    <w:rsid w:val="00D47D52"/>
    <w:rsid w:val="00D56A8B"/>
    <w:rsid w:val="00D6020C"/>
    <w:rsid w:val="00D637D5"/>
    <w:rsid w:val="00DC2EC9"/>
    <w:rsid w:val="00E17698"/>
    <w:rsid w:val="00E17D84"/>
    <w:rsid w:val="00E35DE2"/>
    <w:rsid w:val="00E63837"/>
    <w:rsid w:val="00E740A8"/>
    <w:rsid w:val="00EC44C7"/>
    <w:rsid w:val="00ED6866"/>
    <w:rsid w:val="00F02840"/>
    <w:rsid w:val="00F273DB"/>
    <w:rsid w:val="00F505DA"/>
    <w:rsid w:val="00F51461"/>
    <w:rsid w:val="00F90E5E"/>
    <w:rsid w:val="00FA59F8"/>
    <w:rsid w:val="00FE5A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0C3A506-D417-4CC3-BD7C-46221AEBF4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E5AB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E5ABD"/>
  </w:style>
  <w:style w:type="paragraph" w:styleId="Footer">
    <w:name w:val="footer"/>
    <w:basedOn w:val="Normal"/>
    <w:link w:val="FooterChar"/>
    <w:uiPriority w:val="99"/>
    <w:unhideWhenUsed/>
    <w:rsid w:val="00FE5AB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E5ABD"/>
  </w:style>
  <w:style w:type="paragraph" w:customStyle="1" w:styleId="ArticleHeader">
    <w:name w:val="Article Header"/>
    <w:basedOn w:val="Normal"/>
    <w:link w:val="ArticleHeaderChar"/>
    <w:rsid w:val="000A1A7C"/>
    <w:pPr>
      <w:spacing w:after="0" w:line="240" w:lineRule="auto"/>
    </w:pPr>
    <w:rPr>
      <w:rFonts w:ascii="Arial" w:hAnsi="Arial" w:cs="Arial"/>
      <w:b/>
      <w:sz w:val="32"/>
      <w:szCs w:val="32"/>
    </w:rPr>
  </w:style>
  <w:style w:type="paragraph" w:customStyle="1" w:styleId="Subheader">
    <w:name w:val="Subheader"/>
    <w:basedOn w:val="Normal"/>
    <w:link w:val="SubheaderChar"/>
    <w:rsid w:val="000A1A7C"/>
    <w:pPr>
      <w:spacing w:after="0" w:line="240" w:lineRule="auto"/>
    </w:pPr>
    <w:rPr>
      <w:rFonts w:ascii="Arial" w:hAnsi="Arial" w:cs="Arial"/>
      <w:b/>
      <w:sz w:val="26"/>
      <w:szCs w:val="26"/>
    </w:rPr>
  </w:style>
  <w:style w:type="character" w:customStyle="1" w:styleId="ArticleHeaderChar">
    <w:name w:val="Article Header Char"/>
    <w:basedOn w:val="DefaultParagraphFont"/>
    <w:link w:val="ArticleHeader"/>
    <w:rsid w:val="000A1A7C"/>
    <w:rPr>
      <w:rFonts w:ascii="Arial" w:hAnsi="Arial" w:cs="Arial"/>
      <w:b/>
      <w:sz w:val="32"/>
      <w:szCs w:val="32"/>
    </w:rPr>
  </w:style>
  <w:style w:type="paragraph" w:customStyle="1" w:styleId="BulletedList">
    <w:name w:val="Bulleted List"/>
    <w:basedOn w:val="Normal"/>
    <w:link w:val="BulletedListChar"/>
    <w:rsid w:val="000A1A7C"/>
    <w:pPr>
      <w:numPr>
        <w:numId w:val="1"/>
      </w:numPr>
      <w:spacing w:after="0" w:line="240" w:lineRule="auto"/>
    </w:pPr>
    <w:rPr>
      <w:rFonts w:ascii="Arial" w:hAnsi="Arial" w:cs="Arial"/>
    </w:rPr>
  </w:style>
  <w:style w:type="character" w:customStyle="1" w:styleId="SubheaderChar">
    <w:name w:val="Subheader Char"/>
    <w:basedOn w:val="DefaultParagraphFont"/>
    <w:link w:val="Subheader"/>
    <w:rsid w:val="000A1A7C"/>
    <w:rPr>
      <w:rFonts w:ascii="Arial" w:hAnsi="Arial" w:cs="Arial"/>
      <w:b/>
      <w:sz w:val="26"/>
      <w:szCs w:val="26"/>
    </w:rPr>
  </w:style>
  <w:style w:type="paragraph" w:customStyle="1" w:styleId="NumberedList">
    <w:name w:val="Numbered List"/>
    <w:basedOn w:val="BulletedList"/>
    <w:link w:val="NumberedListChar"/>
    <w:rsid w:val="00841C46"/>
    <w:pPr>
      <w:numPr>
        <w:numId w:val="2"/>
      </w:numPr>
      <w:ind w:left="270" w:hanging="270"/>
    </w:pPr>
  </w:style>
  <w:style w:type="character" w:customStyle="1" w:styleId="BulletedListChar">
    <w:name w:val="Bulleted List Char"/>
    <w:basedOn w:val="DefaultParagraphFont"/>
    <w:link w:val="BulletedList"/>
    <w:rsid w:val="000A1A7C"/>
    <w:rPr>
      <w:rFonts w:ascii="Arial" w:hAnsi="Arial" w:cs="Arial"/>
    </w:rPr>
  </w:style>
  <w:style w:type="character" w:customStyle="1" w:styleId="NumberedListChar">
    <w:name w:val="Numbered List Char"/>
    <w:basedOn w:val="BulletedListChar"/>
    <w:link w:val="NumberedList"/>
    <w:rsid w:val="00841C46"/>
    <w:rPr>
      <w:rFonts w:ascii="Arial" w:hAnsi="Arial" w:cs="Arial"/>
    </w:rPr>
  </w:style>
  <w:style w:type="character" w:styleId="Hyperlink">
    <w:name w:val="Hyperlink"/>
    <w:basedOn w:val="DefaultParagraphFont"/>
    <w:uiPriority w:val="99"/>
    <w:unhideWhenUsed/>
    <w:rsid w:val="002B67A3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rsid w:val="002B67A3"/>
    <w:pPr>
      <w:spacing w:line="240" w:lineRule="auto"/>
      <w:ind w:left="720"/>
      <w:contextualSpacing/>
    </w:pPr>
    <w:rPr>
      <w:rFonts w:ascii="Arial" w:hAnsi="Arial" w:cs="Arial"/>
      <w:sz w:val="20"/>
    </w:rPr>
  </w:style>
  <w:style w:type="paragraph" w:customStyle="1" w:styleId="1Header">
    <w:name w:val="1 Header"/>
    <w:basedOn w:val="ArticleHeader"/>
    <w:link w:val="1HeaderChar"/>
    <w:qFormat/>
    <w:rsid w:val="000F498F"/>
    <w:pPr>
      <w:spacing w:after="160" w:line="192" w:lineRule="auto"/>
    </w:pPr>
    <w:rPr>
      <w:rFonts w:asciiTheme="minorHAnsi" w:hAnsiTheme="minorHAnsi" w:cstheme="minorHAnsi"/>
      <w:sz w:val="36"/>
    </w:rPr>
  </w:style>
  <w:style w:type="paragraph" w:customStyle="1" w:styleId="Body">
    <w:name w:val="Body"/>
    <w:basedOn w:val="Normal"/>
    <w:link w:val="BodyChar"/>
    <w:qFormat/>
    <w:rsid w:val="0053575D"/>
    <w:rPr>
      <w:rFonts w:cstheme="minorHAnsi"/>
    </w:rPr>
  </w:style>
  <w:style w:type="character" w:customStyle="1" w:styleId="1HeaderChar">
    <w:name w:val="1 Header Char"/>
    <w:basedOn w:val="ArticleHeaderChar"/>
    <w:link w:val="1Header"/>
    <w:rsid w:val="000F498F"/>
    <w:rPr>
      <w:rFonts w:ascii="Arial" w:hAnsi="Arial" w:cstheme="minorHAnsi"/>
      <w:b/>
      <w:sz w:val="36"/>
      <w:szCs w:val="32"/>
    </w:rPr>
  </w:style>
  <w:style w:type="paragraph" w:customStyle="1" w:styleId="BulletList">
    <w:name w:val="Bullet List"/>
    <w:basedOn w:val="Body"/>
    <w:link w:val="BulletListChar"/>
    <w:qFormat/>
    <w:rsid w:val="00185FD8"/>
    <w:pPr>
      <w:numPr>
        <w:numId w:val="6"/>
      </w:numPr>
      <w:spacing w:after="60"/>
      <w:ind w:left="273" w:hanging="187"/>
    </w:pPr>
  </w:style>
  <w:style w:type="character" w:customStyle="1" w:styleId="BodyChar">
    <w:name w:val="Body Char"/>
    <w:basedOn w:val="DefaultParagraphFont"/>
    <w:link w:val="Body"/>
    <w:rsid w:val="0053575D"/>
    <w:rPr>
      <w:rFonts w:cstheme="minorHAnsi"/>
    </w:rPr>
  </w:style>
  <w:style w:type="character" w:customStyle="1" w:styleId="BulletListChar">
    <w:name w:val="Bullet List Char"/>
    <w:basedOn w:val="BodyChar"/>
    <w:link w:val="BulletList"/>
    <w:rsid w:val="00185FD8"/>
    <w:rPr>
      <w:rFonts w:cstheme="minorHAnsi"/>
    </w:rPr>
  </w:style>
  <w:style w:type="paragraph" w:customStyle="1" w:styleId="2Header">
    <w:name w:val="2 Header"/>
    <w:basedOn w:val="Normal"/>
    <w:link w:val="2HeaderChar"/>
    <w:qFormat/>
    <w:rsid w:val="00C95AA1"/>
    <w:pPr>
      <w:spacing w:after="0"/>
    </w:pPr>
    <w:rPr>
      <w:rFonts w:cstheme="minorHAnsi"/>
      <w:b/>
    </w:rPr>
  </w:style>
  <w:style w:type="character" w:customStyle="1" w:styleId="2HeaderChar">
    <w:name w:val="2 Header Char"/>
    <w:basedOn w:val="DefaultParagraphFont"/>
    <w:link w:val="2Header"/>
    <w:rsid w:val="00C95AA1"/>
    <w:rPr>
      <w:rFonts w:cstheme="minorHAnsi"/>
      <w:b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F273DB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0B630F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83471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3471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3471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3471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3471B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3471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471B"/>
    <w:rPr>
      <w:rFonts w:ascii="Segoe UI" w:hAnsi="Segoe UI" w:cs="Segoe UI"/>
      <w:sz w:val="18"/>
      <w:szCs w:val="18"/>
    </w:rPr>
  </w:style>
  <w:style w:type="paragraph" w:styleId="Revision">
    <w:name w:val="Revision"/>
    <w:hidden/>
    <w:uiPriority w:val="99"/>
    <w:semiHidden/>
    <w:rsid w:val="004F723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https://www.fda.gov/news-events/press-announcements/fda-takes-additional-action-fight-against-covid-19-issuing-emergency-use-authorization-second-covid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govinfo.gov/content/pkg/FR-2019-01-24/pdf/2019-00077.pdf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fda.gov/news-events/press-announcements/fda-takes-key-action-fight-against-covid-19-issuing-emergency-use-authorization-first-covid-19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www.govinfo.gov/content/pkg/FR-2019-01-24/pdf/2019-00077.pdf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www.federalregister.gov/public-inspection/2020-27498/grandfathered-group-health-plans-and-grandfathered-group-health-insurance-coverag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I:\Content%20Development\MASTER%20TEMPLATES\EB%20Content\Benefits%20Buzz\2021\TEMPLATE%20-%20Benefits%20Buzz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48C0D1-FE83-4E49-9404-584BC6640F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TEMPLATE - Benefits Buzz</Template>
  <TotalTime>0</TotalTime>
  <Pages>1</Pages>
  <Words>488</Words>
  <Characters>2784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Zywave</Company>
  <LinksUpToDate>false</LinksUpToDate>
  <CharactersWithSpaces>3266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Rollefson, Becca</dc:creator>
  <cp:lastModifiedBy>Jacobs, Jessica</cp:lastModifiedBy>
  <cp:revision>2</cp:revision>
  <cp:lastPrinted>2020-10-07T17:13:00Z</cp:lastPrinted>
  <dcterms:created xsi:type="dcterms:W3CDTF">2021-01-07T14:18:00Z</dcterms:created>
  <dcterms:modified xsi:type="dcterms:W3CDTF">2021-01-07T14:18:00Z</dcterms:modified>
</cp:coreProperties>
</file>