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ADF831" w14:textId="77777777" w:rsidR="00D637D5" w:rsidRDefault="008B53CC" w:rsidP="00D637D5">
      <w:pPr>
        <w:pStyle w:val="1Header"/>
        <w:sectPr w:rsidR="00D637D5" w:rsidSect="00FA59F8">
          <w:headerReference w:type="default" r:id="rId7"/>
          <w:type w:val="continuous"/>
          <w:pgSz w:w="12240" w:h="15840"/>
          <w:pgMar w:top="936" w:right="720" w:bottom="1440" w:left="3370" w:header="0" w:footer="720" w:gutter="0"/>
          <w:cols w:space="245"/>
          <w:docGrid w:linePitch="360"/>
        </w:sectPr>
      </w:pPr>
      <w:r>
        <w:rPr>
          <w:noProof/>
        </w:rPr>
        <w:drawing>
          <wp:anchor distT="0" distB="0" distL="114300" distR="114300" simplePos="0" relativeHeight="251658240" behindDoc="0" locked="1" layoutInCell="1" allowOverlap="1" wp14:anchorId="22DAEA70" wp14:editId="43609A7C">
            <wp:simplePos x="0" y="0"/>
            <wp:positionH relativeFrom="margin">
              <wp:posOffset>3175000</wp:posOffset>
            </wp:positionH>
            <wp:positionV relativeFrom="margin">
              <wp:posOffset>8128000</wp:posOffset>
            </wp:positionV>
            <wp:extent cx="1645923" cy="1120142"/>
            <wp:effectExtent l="0" t="0" r="0" b="0"/>
            <wp:wrapNone/>
            <wp:docPr id="100009" name="Picture 100009"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619576" name=""/>
                    <pic:cNvPicPr>
                      <a:picLocks noChangeAspect="1"/>
                    </pic:cNvPicPr>
                  </pic:nvPicPr>
                  <pic:blipFill>
                    <a:blip r:embed="rId8"/>
                    <a:stretch>
                      <a:fillRect/>
                    </a:stretch>
                  </pic:blipFill>
                  <pic:spPr>
                    <a:xfrm>
                      <a:off x="0" y="0"/>
                      <a:ext cx="1645923" cy="1120142"/>
                    </a:xfrm>
                    <a:prstGeom prst="rect">
                      <a:avLst/>
                    </a:prstGeom>
                  </pic:spPr>
                </pic:pic>
              </a:graphicData>
            </a:graphic>
          </wp:anchor>
        </w:drawing>
      </w:r>
      <w:hyperlink r:id="rId9" w:history="1">
        <w:r w:rsidR="008D7520">
          <w:t>American</w:t>
        </w:r>
      </w:hyperlink>
      <w:r w:rsidR="008D7520">
        <w:t xml:space="preserve"> Rescue Plan Act’s Employment-related Provisions</w:t>
      </w:r>
    </w:p>
    <w:p w14:paraId="6D173F26" w14:textId="77777777" w:rsidR="008D7520" w:rsidRDefault="008B53CC" w:rsidP="00D637D5">
      <w:pPr>
        <w:pStyle w:val="Body"/>
      </w:pPr>
      <w:r w:rsidRPr="008D7520">
        <w:t xml:space="preserve">President Joe Biden signed the </w:t>
      </w:r>
      <w:hyperlink r:id="rId10" w:history="1">
        <w:r w:rsidRPr="008D7520">
          <w:rPr>
            <w:rStyle w:val="Hyperlink"/>
          </w:rPr>
          <w:t>American Rescue Plan Act of 2021</w:t>
        </w:r>
      </w:hyperlink>
      <w:r w:rsidRPr="008D7520">
        <w:t xml:space="preserve"> (ARPA) into law on March 11, 2021. </w:t>
      </w:r>
      <w:r>
        <w:t>The law generally provides</w:t>
      </w:r>
      <w:r w:rsidRPr="008D7520">
        <w:t xml:space="preserve"> financial relief for individuals, state and local governments, schools, busines</w:t>
      </w:r>
      <w:r w:rsidRPr="008D7520">
        <w:t>ses and for other purposes</w:t>
      </w:r>
      <w:r>
        <w:t>.</w:t>
      </w:r>
    </w:p>
    <w:p w14:paraId="2FDE7C5B" w14:textId="77777777" w:rsidR="00D637D5" w:rsidRDefault="008B53CC" w:rsidP="00D637D5">
      <w:pPr>
        <w:pStyle w:val="Body"/>
      </w:pPr>
      <w:r>
        <w:t>In addition</w:t>
      </w:r>
      <w:r w:rsidRPr="008D7520">
        <w:t>, the law contains the following measures of special interest to employers and their employees:</w:t>
      </w:r>
    </w:p>
    <w:p w14:paraId="05558A1A" w14:textId="77777777" w:rsidR="008D7520" w:rsidRDefault="008B53CC" w:rsidP="008D7520">
      <w:pPr>
        <w:pStyle w:val="BulletList"/>
        <w:rPr>
          <w:noProof/>
        </w:rPr>
      </w:pPr>
      <w:r>
        <w:rPr>
          <w:noProof/>
        </w:rPr>
        <mc:AlternateContent>
          <mc:Choice Requires="wps">
            <w:drawing>
              <wp:anchor distT="0" distB="0" distL="114300" distR="114300" simplePos="0" relativeHeight="251663360" behindDoc="0" locked="0" layoutInCell="1" allowOverlap="1" wp14:anchorId="6C13720B" wp14:editId="410AF885">
                <wp:simplePos x="0" y="0"/>
                <wp:positionH relativeFrom="margin">
                  <wp:posOffset>-1547176</wp:posOffset>
                </wp:positionH>
                <wp:positionV relativeFrom="page">
                  <wp:posOffset>3609316</wp:posOffset>
                </wp:positionV>
                <wp:extent cx="2010487" cy="487045"/>
                <wp:effectExtent l="0" t="318" r="0" b="8572"/>
                <wp:wrapNone/>
                <wp:docPr id="2" name="Text Box 2"/>
                <wp:cNvGraphicFramePr/>
                <a:graphic xmlns:a="http://schemas.openxmlformats.org/drawingml/2006/main">
                  <a:graphicData uri="http://schemas.microsoft.com/office/word/2010/wordprocessingShape">
                    <wps:wsp>
                      <wps:cNvSpPr txBox="1"/>
                      <wps:spPr>
                        <a:xfrm rot="16200000">
                          <a:off x="0" y="0"/>
                          <a:ext cx="2010487" cy="487045"/>
                        </a:xfrm>
                        <a:prstGeom prst="rect">
                          <a:avLst/>
                        </a:prstGeom>
                        <a:noFill/>
                        <a:ln w="6350">
                          <a:noFill/>
                        </a:ln>
                      </wps:spPr>
                      <wps:txbx>
                        <w:txbxContent>
                          <w:p w14:paraId="6C43DBCF" w14:textId="77777777" w:rsidR="00A1062C" w:rsidRPr="00D77091" w:rsidRDefault="008B53CC" w:rsidP="00A1062C">
                            <w:pPr>
                              <w:pStyle w:val="Header"/>
                              <w:jc w:val="center"/>
                              <w:rPr>
                                <w:b/>
                                <w:color w:val="3FB49D"/>
                                <w:sz w:val="36"/>
                                <w:szCs w:val="36"/>
                              </w:rPr>
                            </w:pPr>
                            <w:hyperlink r:id="rId11" w:history="1">
                              <w:r w:rsidR="00F83154" w:rsidRPr="00D77091">
                                <w:rPr>
                                  <w:b/>
                                  <w:color w:val="3FB49D"/>
                                  <w:sz w:val="36"/>
                                  <w:szCs w:val="36"/>
                                </w:rPr>
                                <w:t>APRIL</w:t>
                              </w:r>
                            </w:hyperlink>
                            <w:r w:rsidRPr="00D77091">
                              <w:rPr>
                                <w:b/>
                                <w:color w:val="3FB49D"/>
                                <w:sz w:val="36"/>
                                <w:szCs w:val="36"/>
                              </w:rPr>
                              <w:t xml:space="preserve"> 202</w:t>
                            </w:r>
                            <w:r w:rsidR="00F83154" w:rsidRPr="00D77091">
                              <w:rPr>
                                <w:b/>
                                <w:color w:val="3FB49D"/>
                                <w:sz w:val="36"/>
                                <w:szCs w:val="36"/>
                              </w:rPr>
                              <w:t>1</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C13720B" id="_x0000_t202" coordsize="21600,21600" o:spt="202" path="m,l,21600r21600,l21600,xe">
                <v:stroke joinstyle="miter"/>
                <v:path gradientshapeok="t" o:connecttype="rect"/>
              </v:shapetype>
              <v:shape id="Text Box 2" o:spid="_x0000_s1026" type="#_x0000_t202" style="position:absolute;left:0;text-align:left;margin-left:-121.8pt;margin-top:284.2pt;width:158.3pt;height:38.35pt;rotation:-90;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" filled="f" stroked="f" strokeweight=".5pt">
                <v:textbox inset="0,,0">
                  <w:txbxContent>
                    <w:p w14:paraId="6C43DBCF" w14:textId="77777777" w:rsidR="00A1062C" w:rsidRPr="00D77091" w:rsidRDefault="008B53CC" w:rsidP="00A1062C">
                      <w:pPr>
                        <w:pStyle w:val="Header"/>
                        <w:jc w:val="center"/>
                        <w:rPr>
                          <w:b/>
                          <w:color w:val="3FB49D"/>
                          <w:sz w:val="36"/>
                          <w:szCs w:val="36"/>
                        </w:rPr>
                      </w:pPr>
                      <w:hyperlink r:id="rId12" w:history="1">
                        <w:r w:rsidR="00F83154" w:rsidRPr="00D77091">
                          <w:rPr>
                            <w:b/>
                            <w:color w:val="3FB49D"/>
                            <w:sz w:val="36"/>
                            <w:szCs w:val="36"/>
                          </w:rPr>
                          <w:t>APRIL</w:t>
                        </w:r>
                      </w:hyperlink>
                      <w:r w:rsidRPr="00D77091">
                        <w:rPr>
                          <w:b/>
                          <w:color w:val="3FB49D"/>
                          <w:sz w:val="36"/>
                          <w:szCs w:val="36"/>
                        </w:rPr>
                        <w:t xml:space="preserve"> 202</w:t>
                      </w:r>
                      <w:r w:rsidR="00F83154" w:rsidRPr="00D77091">
                        <w:rPr>
                          <w:b/>
                          <w:color w:val="3FB49D"/>
                          <w:sz w:val="36"/>
                          <w:szCs w:val="36"/>
                        </w:rPr>
                        <w:t>1</w:t>
                      </w:r>
                    </w:p>
                  </w:txbxContent>
                </v:textbox>
                <w10:wrap anchorx="margin" anchory="page"/>
              </v:shape>
            </w:pict>
          </mc:Fallback>
        </mc:AlternateContent>
      </w:r>
      <w:r w:rsidR="008D7520">
        <w:rPr>
          <w:noProof/>
        </w:rPr>
        <w:t>A subsidy for COBRA premiums, funded through employer tax credits</w:t>
      </w:r>
      <w:r w:rsidR="00F83154">
        <w:rPr>
          <w:noProof/>
        </w:rPr>
        <w:t xml:space="preserve"> (described in more detail below)</w:t>
      </w:r>
    </w:p>
    <w:p w14:paraId="3D9FAF28" w14:textId="77777777" w:rsidR="008D7520" w:rsidRDefault="008B53CC" w:rsidP="008D7520">
      <w:pPr>
        <w:pStyle w:val="BulletList"/>
        <w:rPr>
          <w:noProof/>
        </w:rPr>
      </w:pPr>
      <w:r>
        <w:rPr>
          <w:noProof/>
        </w:rPr>
        <w:t>Extension of employer tax credits for FFCRA employee leave voluntarily provided through Sept. 30, 2021</w:t>
      </w:r>
    </w:p>
    <w:p w14:paraId="320F75B6" w14:textId="77777777" w:rsidR="008D7520" w:rsidRDefault="008B53CC" w:rsidP="008D7520">
      <w:pPr>
        <w:pStyle w:val="BulletList"/>
        <w:rPr>
          <w:noProof/>
        </w:rPr>
      </w:pPr>
      <w:r>
        <w:rPr>
          <w:noProof/>
        </w:rPr>
        <w:t>Expansion of employee earnings eligible for the FFCRA tax credit</w:t>
      </w:r>
    </w:p>
    <w:p w14:paraId="16239B57" w14:textId="77777777" w:rsidR="008D7520" w:rsidRDefault="008B53CC" w:rsidP="008D7520">
      <w:pPr>
        <w:pStyle w:val="BulletList"/>
        <w:rPr>
          <w:noProof/>
        </w:rPr>
      </w:pPr>
      <w:r>
        <w:br w:type="column"/>
      </w:r>
      <w:r>
        <w:rPr>
          <w:noProof/>
        </w:rPr>
        <w:t xml:space="preserve">Inclusion </w:t>
      </w:r>
      <w:r>
        <w:rPr>
          <w:noProof/>
        </w:rPr>
        <w:t>of testing and immunization as reasons for FFCRA leave</w:t>
      </w:r>
    </w:p>
    <w:p w14:paraId="6F0B125F" w14:textId="77777777" w:rsidR="008D7520" w:rsidRDefault="008B53CC" w:rsidP="008D7520">
      <w:pPr>
        <w:pStyle w:val="BulletList"/>
        <w:rPr>
          <w:noProof/>
        </w:rPr>
      </w:pPr>
      <w:r>
        <w:rPr>
          <w:noProof/>
        </w:rPr>
        <w:t>Extension of $300 increase in weekly unemployment benefits</w:t>
      </w:r>
    </w:p>
    <w:p w14:paraId="16CCC871" w14:textId="77777777" w:rsidR="008D7520" w:rsidRDefault="008B53CC" w:rsidP="008D7520">
      <w:pPr>
        <w:pStyle w:val="BulletList"/>
        <w:rPr>
          <w:noProof/>
        </w:rPr>
      </w:pPr>
      <w:r>
        <w:rPr>
          <w:noProof/>
        </w:rPr>
        <w:t>Extension of weekly unemployment benefits for workers who otherwise wouldn’t qualify for these benefits</w:t>
      </w:r>
    </w:p>
    <w:p w14:paraId="49324954" w14:textId="77777777" w:rsidR="008D7520" w:rsidRDefault="008B53CC" w:rsidP="008D7520">
      <w:pPr>
        <w:pStyle w:val="BulletList"/>
        <w:rPr>
          <w:noProof/>
        </w:rPr>
      </w:pPr>
      <w:r>
        <w:rPr>
          <w:noProof/>
        </w:rPr>
        <w:t xml:space="preserve">Expansion of subsidy for ACA </w:t>
      </w:r>
      <w:r>
        <w:rPr>
          <w:noProof/>
        </w:rPr>
        <w:t>premiums</w:t>
      </w:r>
    </w:p>
    <w:p w14:paraId="2933F0C9" w14:textId="77777777" w:rsidR="008D7520" w:rsidRDefault="008B53CC" w:rsidP="008D7520">
      <w:pPr>
        <w:pStyle w:val="BulletList"/>
        <w:rPr>
          <w:noProof/>
        </w:rPr>
      </w:pPr>
      <w:r>
        <w:rPr>
          <w:noProof/>
        </w:rPr>
        <w:t>Increase in DCAP contribution limits</w:t>
      </w:r>
    </w:p>
    <w:p w14:paraId="48A91D9E" w14:textId="77777777" w:rsidR="00D637D5" w:rsidRDefault="008B53CC" w:rsidP="008D7520">
      <w:pPr>
        <w:pStyle w:val="BulletList"/>
      </w:pPr>
      <w:r>
        <w:rPr>
          <w:noProof/>
        </w:rPr>
        <w:t>Extension and expansion of the employee retention tax credit</w:t>
      </w:r>
    </w:p>
    <w:p w14:paraId="1AE224FF" w14:textId="77777777" w:rsidR="00C95AA1" w:rsidRDefault="008B53CC" w:rsidP="00137036">
      <w:pPr>
        <w:pStyle w:val="Body"/>
        <w:sectPr w:rsidR="00C95AA1" w:rsidSect="00D637D5">
          <w:type w:val="continuous"/>
          <w:pgSz w:w="12240" w:h="15840"/>
          <w:pgMar w:top="432" w:right="720" w:bottom="1440" w:left="3372" w:header="720" w:footer="720" w:gutter="0"/>
          <w:cols w:num="2" w:space="245"/>
          <w:docGrid w:linePitch="360"/>
        </w:sectPr>
      </w:pPr>
      <w:r>
        <w:t>Employers should review the ARPA’s provisions to identify any requirements and opportunities that apply to them. Employers should a</w:t>
      </w:r>
      <w:r>
        <w:t>lso watch for official guidance on the implementation of the law.</w:t>
      </w:r>
    </w:p>
    <w:p w14:paraId="70B20202" w14:textId="77777777" w:rsidR="0096300C" w:rsidRDefault="0096300C" w:rsidP="00F83154">
      <w:pPr>
        <w:pStyle w:val="Body"/>
        <w:spacing w:after="0"/>
      </w:pPr>
    </w:p>
    <w:p w14:paraId="7803E97B" w14:textId="77777777" w:rsidR="00C95AA1" w:rsidRDefault="00C95AA1" w:rsidP="008D7520">
      <w:pPr>
        <w:pStyle w:val="1Header"/>
        <w:spacing w:after="0"/>
        <w:sectPr w:rsidR="00C95AA1" w:rsidSect="00D637D5">
          <w:type w:val="continuous"/>
          <w:pgSz w:w="12240" w:h="15840"/>
          <w:pgMar w:top="432" w:right="720" w:bottom="1440" w:left="3372" w:header="720" w:footer="720" w:gutter="0"/>
          <w:cols w:num="2" w:space="245"/>
          <w:docGrid w:linePitch="360"/>
        </w:sectPr>
      </w:pPr>
    </w:p>
    <w:p w14:paraId="4920FD1C" w14:textId="77777777" w:rsidR="00C95AA1" w:rsidRDefault="008B53CC" w:rsidP="00C95AA1">
      <w:pPr>
        <w:pStyle w:val="1Header"/>
        <w:sectPr w:rsidR="00C95AA1" w:rsidSect="00C95AA1">
          <w:type w:val="continuous"/>
          <w:pgSz w:w="12240" w:h="15840"/>
          <w:pgMar w:top="432" w:right="720" w:bottom="1440" w:left="3372" w:header="720" w:footer="720" w:gutter="0"/>
          <w:cols w:space="245"/>
          <w:docGrid w:linePitch="360"/>
        </w:sectPr>
      </w:pPr>
      <w:r>
        <w:t>ARPA’s COBRA Subsidy Provisions</w:t>
      </w:r>
    </w:p>
    <w:p w14:paraId="119AE488" w14:textId="77777777" w:rsidR="00C95AA1" w:rsidRDefault="008B53CC" w:rsidP="00C95AA1">
      <w:pPr>
        <w:pStyle w:val="Body"/>
      </w:pPr>
      <w:r>
        <w:t xml:space="preserve">The ARPA provides a 100% subsidy of premiums for employer-sponsored group health insurance continued under the </w:t>
      </w:r>
      <w:hyperlink r:id="rId13" w:history="1">
        <w:r w:rsidRPr="000F6BF7">
          <w:rPr>
            <w:rStyle w:val="Hyperlink"/>
          </w:rPr>
          <w:t>Consolidated Omnibus Budget Reconciliation Act of 1986</w:t>
        </w:r>
      </w:hyperlink>
      <w:r>
        <w:t xml:space="preserve"> (COBRA) and similar state continuation of coverage (mini-COBRA) programs.</w:t>
      </w:r>
    </w:p>
    <w:p w14:paraId="7E3DE236" w14:textId="77777777" w:rsidR="008D7520" w:rsidRDefault="008B53CC" w:rsidP="008D7520">
      <w:pPr>
        <w:pStyle w:val="Body"/>
        <w:spacing w:after="0"/>
        <w:rPr>
          <w:noProof/>
        </w:rPr>
      </w:pPr>
      <w:r w:rsidRPr="008D08A1">
        <w:rPr>
          <w:noProof/>
        </w:rPr>
        <mc:AlternateContent>
          <mc:Choice Requires="wps">
            <w:drawing>
              <wp:anchor distT="0" distB="0" distL="114300" distR="114300" simplePos="0" relativeHeight="251661312" behindDoc="1" locked="0" layoutInCell="1" allowOverlap="1" wp14:anchorId="5CECEF24" wp14:editId="089F1657">
                <wp:simplePos x="0" y="0"/>
                <wp:positionH relativeFrom="margin">
                  <wp:posOffset>152400</wp:posOffset>
                </wp:positionH>
                <wp:positionV relativeFrom="page">
                  <wp:posOffset>9705878</wp:posOffset>
                </wp:positionV>
                <wp:extent cx="2071370" cy="21018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071370" cy="210185"/>
                        </a:xfrm>
                        <a:prstGeom prst="rect">
                          <a:avLst/>
                        </a:prstGeom>
                        <a:noFill/>
                        <a:ln w="6350">
                          <a:noFill/>
                        </a:ln>
                      </wps:spPr>
                      <wps:txbx>
                        <w:txbxContent>
                          <w:p w14:paraId="01A5C6FB" w14:textId="77777777" w:rsidR="000A22E5" w:rsidRPr="00C633E7" w:rsidRDefault="008B53CC" w:rsidP="000A22E5">
                            <w:pPr>
                              <w:jc w:val="center"/>
                              <w:rPr>
                                <w:rFonts w:ascii="Arial" w:hAnsi="Arial" w:cs="Arial"/>
                                <w:color w:val="BFBFBF" w:themeColor="background1" w:themeShade="BF"/>
                                <w:sz w:val="16"/>
                                <w:szCs w:val="16"/>
                              </w:rPr>
                            </w:pPr>
                            <w:r w:rsidRPr="00C633E7">
                              <w:rPr>
                                <w:rFonts w:ascii="Arial" w:hAnsi="Arial" w:cs="Arial"/>
                                <w:color w:val="BFBFBF" w:themeColor="background1" w:themeShade="BF"/>
                                <w:sz w:val="16"/>
                                <w:szCs w:val="16"/>
                              </w:rPr>
                              <w:t>© 20</w:t>
                            </w:r>
                            <w:r w:rsidR="005455C0" w:rsidRPr="00C633E7">
                              <w:rPr>
                                <w:rFonts w:ascii="Arial" w:hAnsi="Arial" w:cs="Arial"/>
                                <w:color w:val="BFBFBF" w:themeColor="background1" w:themeShade="BF"/>
                                <w:sz w:val="16"/>
                                <w:szCs w:val="16"/>
                              </w:rPr>
                              <w:t>2</w:t>
                            </w:r>
                            <w:r w:rsidR="00F83154">
                              <w:rPr>
                                <w:rFonts w:ascii="Arial" w:hAnsi="Arial" w:cs="Arial"/>
                                <w:color w:val="BFBFBF" w:themeColor="background1" w:themeShade="BF"/>
                                <w:sz w:val="16"/>
                                <w:szCs w:val="16"/>
                              </w:rPr>
                              <w:t>1</w:t>
                            </w:r>
                            <w:r w:rsidRPr="00C633E7">
                              <w:rPr>
                                <w:rFonts w:ascii="Arial" w:hAnsi="Arial" w:cs="Arial"/>
                                <w:color w:val="BFBFBF" w:themeColor="background1" w:themeShade="BF"/>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CECEF24" id="Text Box 12" o:spid="_x0000_s1027" type="#_x0000_t202" style="position:absolute;margin-left:12pt;margin-top:764.25pt;width:163.1pt;height:16.5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" filled="f" stroked="f" strokeweight=".5pt">
                <v:textbox>
                  <w:txbxContent>
                    <w:p w14:paraId="01A5C6FB" w14:textId="77777777" w:rsidR="000A22E5" w:rsidRPr="00C633E7" w:rsidRDefault="008B53CC" w:rsidP="000A22E5">
                      <w:pPr>
                        <w:jc w:val="center"/>
                        <w:rPr>
                          <w:rFonts w:ascii="Arial" w:hAnsi="Arial" w:cs="Arial"/>
                          <w:color w:val="BFBFBF" w:themeColor="background1" w:themeShade="BF"/>
                          <w:sz w:val="16"/>
                          <w:szCs w:val="16"/>
                        </w:rPr>
                      </w:pPr>
                      <w:r w:rsidRPr="00C633E7">
                        <w:rPr>
                          <w:rFonts w:ascii="Arial" w:hAnsi="Arial" w:cs="Arial"/>
                          <w:color w:val="BFBFBF" w:themeColor="background1" w:themeShade="BF"/>
                          <w:sz w:val="16"/>
                          <w:szCs w:val="16"/>
                        </w:rPr>
                        <w:t>© 20</w:t>
                      </w:r>
                      <w:r w:rsidR="005455C0" w:rsidRPr="00C633E7">
                        <w:rPr>
                          <w:rFonts w:ascii="Arial" w:hAnsi="Arial" w:cs="Arial"/>
                          <w:color w:val="BFBFBF" w:themeColor="background1" w:themeShade="BF"/>
                          <w:sz w:val="16"/>
                          <w:szCs w:val="16"/>
                        </w:rPr>
                        <w:t>2</w:t>
                      </w:r>
                      <w:r w:rsidR="00F83154">
                        <w:rPr>
                          <w:rFonts w:ascii="Arial" w:hAnsi="Arial" w:cs="Arial"/>
                          <w:color w:val="BFBFBF" w:themeColor="background1" w:themeShade="BF"/>
                          <w:sz w:val="16"/>
                          <w:szCs w:val="16"/>
                        </w:rPr>
                        <w:t>1</w:t>
                      </w:r>
                      <w:r w:rsidRPr="00C633E7">
                        <w:rPr>
                          <w:rFonts w:ascii="Arial" w:hAnsi="Arial" w:cs="Arial"/>
                          <w:color w:val="BFBFBF" w:themeColor="background1" w:themeShade="BF"/>
                          <w:sz w:val="16"/>
                          <w:szCs w:val="16"/>
                        </w:rPr>
                        <w:t xml:space="preserve"> Zywave, Inc. All rights reserved</w:t>
                      </w:r>
                    </w:p>
                  </w:txbxContent>
                </v:textbox>
                <w10:wrap anchorx="margin" anchory="page"/>
              </v:shape>
            </w:pict>
          </mc:Fallback>
        </mc:AlternateContent>
      </w:r>
      <w:r w:rsidRPr="00D001DF">
        <w:rPr>
          <w:noProof/>
        </w:rPr>
        <mc:AlternateContent>
          <mc:Choice Requires="wps">
            <w:drawing>
              <wp:anchor distT="0" distB="0" distL="114300" distR="114300" simplePos="0" relativeHeight="251660288" behindDoc="0" locked="0" layoutInCell="1" allowOverlap="1" wp14:anchorId="5A28CE69" wp14:editId="6A8384EF">
                <wp:simplePos x="0" y="0"/>
                <wp:positionH relativeFrom="margin">
                  <wp:align>left</wp:align>
                </wp:positionH>
                <wp:positionV relativeFrom="page">
                  <wp:posOffset>9295814</wp:posOffset>
                </wp:positionV>
                <wp:extent cx="2426335" cy="457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426335" cy="457200"/>
                        </a:xfrm>
                        <a:prstGeom prst="rect">
                          <a:avLst/>
                        </a:prstGeom>
                        <a:noFill/>
                        <a:ln w="6350">
                          <a:noFill/>
                        </a:ln>
                      </wps:spPr>
                      <wps:txbx>
                        <w:txbxContent>
                          <w:p w14:paraId="5AC3B7A9" w14:textId="77777777" w:rsidR="00CB25AA" w:rsidRPr="00CB25AA" w:rsidRDefault="008B53CC" w:rsidP="00F90E5E">
                            <w:pPr>
                              <w:spacing w:after="0" w:line="240" w:lineRule="auto"/>
                              <w:jc w:val="center"/>
                              <w:rPr>
                                <w:rFonts w:ascii="Arial" w:hAnsi="Arial" w:cs="Arial"/>
                                <w:color w:val="404040" w:themeColor="text1" w:themeTint="BF"/>
                                <w:sz w:val="20"/>
                                <w:szCs w:val="20"/>
                              </w:rPr>
                            </w:pPr>
                            <w:r>
                              <w:rPr>
                                <w:rFonts w:ascii="Arial" w:hAnsi="Arial" w:cs="Arial"/>
                                <w:color w:val="404040" w:themeColor="text1" w:themeTint="BF"/>
                                <w:sz w:val="20"/>
                                <w:szCs w:val="20"/>
                              </w:rPr>
                              <w:t>Provided to Y</w:t>
                            </w:r>
                            <w:r w:rsidRPr="00CB25AA">
                              <w:rPr>
                                <w:rFonts w:ascii="Arial" w:hAnsi="Arial" w:cs="Arial"/>
                                <w:color w:val="404040" w:themeColor="text1" w:themeTint="BF"/>
                                <w:sz w:val="20"/>
                                <w:szCs w:val="20"/>
                              </w:rPr>
                              <w:t>ou by</w:t>
                            </w:r>
                          </w:p>
                          <w:p w14:paraId="2169AFA7" w14:textId="77777777" w:rsidR="00CB25AA" w:rsidRPr="0051484C" w:rsidRDefault="008B53CC" w:rsidP="00F90E5E">
                            <w:pPr>
                              <w:spacing w:after="0" w:line="240" w:lineRule="auto"/>
                              <w:jc w:val="center"/>
                              <w:rPr>
                                <w:rFonts w:ascii="Arial" w:hAnsi="Arial" w:cs="Arial"/>
                                <w:b/>
                                <w:color w:val="404040" w:themeColor="text1" w:themeTint="BF"/>
                                <w:sz w:val="20"/>
                                <w:szCs w:val="20"/>
                              </w:rPr>
                            </w:pPr>
                            <w:r w:rsidRPr="0051484C">
                              <w:rPr>
                                <w:rFonts w:ascii="Arial" w:hAnsi="Arial" w:cs="Arial"/>
                                <w:b/>
                                <w:color w:val="404040" w:themeColor="text1" w:themeTint="BF"/>
                                <w:sz w:val="20"/>
                                <w:szCs w:val="20"/>
                              </w:rPr>
                              <w:t>The Richards Group</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A28CE69" id="Text Box 14" o:spid="_x0000_s1028" type="#_x0000_t202" style="position:absolute;margin-left:0;margin-top:731.95pt;width:191.05pt;height:36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" filled="f" stroked="f" strokeweight=".5pt">
                <v:textbox>
                  <w:txbxContent>
                    <w:p w14:paraId="5AC3B7A9" w14:textId="77777777" w:rsidR="00CB25AA" w:rsidRPr="00CB25AA" w:rsidRDefault="008B53CC" w:rsidP="00F90E5E">
                      <w:pPr>
                        <w:spacing w:after="0" w:line="240" w:lineRule="auto"/>
                        <w:jc w:val="center"/>
                        <w:rPr>
                          <w:rFonts w:ascii="Arial" w:hAnsi="Arial" w:cs="Arial"/>
                          <w:color w:val="404040" w:themeColor="text1" w:themeTint="BF"/>
                          <w:sz w:val="20"/>
                          <w:szCs w:val="20"/>
                        </w:rPr>
                      </w:pPr>
                      <w:r>
                        <w:rPr>
                          <w:rFonts w:ascii="Arial" w:hAnsi="Arial" w:cs="Arial"/>
                          <w:color w:val="404040" w:themeColor="text1" w:themeTint="BF"/>
                          <w:sz w:val="20"/>
                          <w:szCs w:val="20"/>
                        </w:rPr>
                        <w:t>Provided to Y</w:t>
                      </w:r>
                      <w:r w:rsidRPr="00CB25AA">
                        <w:rPr>
                          <w:rFonts w:ascii="Arial" w:hAnsi="Arial" w:cs="Arial"/>
                          <w:color w:val="404040" w:themeColor="text1" w:themeTint="BF"/>
                          <w:sz w:val="20"/>
                          <w:szCs w:val="20"/>
                        </w:rPr>
                        <w:t>ou by</w:t>
                      </w:r>
                    </w:p>
                    <w:p w14:paraId="2169AFA7" w14:textId="77777777" w:rsidR="00CB25AA" w:rsidRPr="0051484C" w:rsidRDefault="008B53CC" w:rsidP="00F90E5E">
                      <w:pPr>
                        <w:spacing w:after="0" w:line="240" w:lineRule="auto"/>
                        <w:jc w:val="center"/>
                        <w:rPr>
                          <w:rFonts w:ascii="Arial" w:hAnsi="Arial" w:cs="Arial"/>
                          <w:b/>
                          <w:color w:val="404040" w:themeColor="text1" w:themeTint="BF"/>
                          <w:sz w:val="20"/>
                          <w:szCs w:val="20"/>
                        </w:rPr>
                      </w:pPr>
                      <w:r w:rsidRPr="0051484C">
                        <w:rPr>
                          <w:rFonts w:ascii="Arial" w:hAnsi="Arial" w:cs="Arial"/>
                          <w:b/>
                          <w:color w:val="404040" w:themeColor="text1" w:themeTint="BF"/>
                          <w:sz w:val="20"/>
                          <w:szCs w:val="20"/>
                        </w:rPr>
                        <w:t>The Richards Group</w:t>
                      </w:r>
                    </w:p>
                  </w:txbxContent>
                </v:textbox>
                <w10:wrap anchorx="margin" anchory="page"/>
              </v:shape>
            </w:pict>
          </mc:Fallback>
        </mc:AlternateContent>
      </w:r>
      <w:r w:rsidR="008D7520">
        <w:rPr>
          <w:noProof/>
        </w:rPr>
        <w:t xml:space="preserve">ARPA subsidies cover the full cost of COBRA or mini-COBRA premiums from April 1, 2021, through Sept. 30, 2021, for employees (and their qualifying family members), if the employee lost or loses group health insurance due to an involuntary job loss or reduction in work hours. The subsidy applies to people who are still within their original COBRA or mini-COBRA coverage period, for the length of that coverage period, even if they declined </w:t>
      </w:r>
    </w:p>
    <w:p w14:paraId="271C2349" w14:textId="77777777" w:rsidR="00F83154" w:rsidRDefault="008B53CC" w:rsidP="008D7520">
      <w:pPr>
        <w:pStyle w:val="Body"/>
        <w:rPr>
          <w:noProof/>
        </w:rPr>
      </w:pPr>
      <w:r>
        <w:br w:type="column"/>
      </w:r>
      <w:r>
        <w:rPr>
          <w:noProof/>
        </w:rPr>
        <w:t>or dropped COBRA or mini-COBRA coverage earlier.</w:t>
      </w:r>
    </w:p>
    <w:p w14:paraId="7D82701F" w14:textId="77777777" w:rsidR="00C95AA1" w:rsidRDefault="008B53CC" w:rsidP="008D7520">
      <w:pPr>
        <w:pStyle w:val="Body"/>
      </w:pPr>
      <w:r>
        <w:rPr>
          <w:noProof/>
        </w:rPr>
        <w:t>T</w:t>
      </w:r>
      <w:r>
        <w:rPr>
          <w:noProof/>
        </w:rPr>
        <w:t xml:space="preserve">he subsidy does </w:t>
      </w:r>
      <w:r w:rsidRPr="008D7520">
        <w:rPr>
          <w:b/>
          <w:noProof/>
        </w:rPr>
        <w:t xml:space="preserve">not </w:t>
      </w:r>
      <w:r>
        <w:rPr>
          <w:noProof/>
        </w:rPr>
        <w:t>apply to:</w:t>
      </w:r>
    </w:p>
    <w:p w14:paraId="101455D8" w14:textId="77777777" w:rsidR="008D7520" w:rsidRDefault="008B53CC" w:rsidP="008D7520">
      <w:pPr>
        <w:pStyle w:val="BulletList"/>
      </w:pPr>
      <w:r>
        <w:t xml:space="preserve">Individuals whose job loss was </w:t>
      </w:r>
      <w:r w:rsidRPr="001176E5">
        <w:rPr>
          <w:b/>
        </w:rPr>
        <w:t>voluntary</w:t>
      </w:r>
      <w:r>
        <w:rPr>
          <w:b/>
        </w:rPr>
        <w:t xml:space="preserve"> </w:t>
      </w:r>
      <w:r w:rsidRPr="00B33160">
        <w:t>or the result of</w:t>
      </w:r>
      <w:r>
        <w:rPr>
          <w:b/>
        </w:rPr>
        <w:t xml:space="preserve"> gross misconduct</w:t>
      </w:r>
      <w:r>
        <w:t>; or</w:t>
      </w:r>
    </w:p>
    <w:p w14:paraId="772DE741" w14:textId="77777777" w:rsidR="008D7520" w:rsidRDefault="008B53CC" w:rsidP="008D7520">
      <w:pPr>
        <w:pStyle w:val="BulletList"/>
      </w:pPr>
      <w:r>
        <w:t>Individuals who are eligible for another group health plan or Medicare.</w:t>
      </w:r>
    </w:p>
    <w:p w14:paraId="370D93C3" w14:textId="77777777" w:rsidR="00C95AA1" w:rsidRDefault="008B53CC" w:rsidP="008D7520">
      <w:pPr>
        <w:pStyle w:val="Body"/>
      </w:pPr>
      <w:r>
        <w:t>The subsidies are funded through a</w:t>
      </w:r>
      <w:r w:rsidR="00F83154">
        <w:t xml:space="preserve"> refundable, advanceable</w:t>
      </w:r>
      <w:r>
        <w:t xml:space="preserve"> </w:t>
      </w:r>
      <w:r w:rsidRPr="006B1552">
        <w:rPr>
          <w:b/>
        </w:rPr>
        <w:t>payroll tax credit</w:t>
      </w:r>
      <w:r>
        <w:t xml:space="preserve">. Employers are required to provide </w:t>
      </w:r>
      <w:r w:rsidRPr="006B1552">
        <w:rPr>
          <w:b/>
        </w:rPr>
        <w:t>new notices</w:t>
      </w:r>
      <w:r>
        <w:t xml:space="preserve"> about the subsidy to employees. The Department of Labor (DOL) will issue model notices for this purpose.</w:t>
      </w:r>
    </w:p>
    <w:p w14:paraId="1EEA7017" w14:textId="77777777" w:rsidR="00F83154" w:rsidRPr="00D001DF" w:rsidRDefault="008B53CC" w:rsidP="008D7520">
      <w:pPr>
        <w:pStyle w:val="Body"/>
      </w:pPr>
      <w:r w:rsidRPr="00F83154">
        <w:t xml:space="preserve">The ARPA </w:t>
      </w:r>
      <w:r>
        <w:t xml:space="preserve">also </w:t>
      </w:r>
      <w:r w:rsidRPr="00F83154">
        <w:t>allows covered individuals to switch to simila</w:t>
      </w:r>
      <w:r w:rsidRPr="00F83154">
        <w:t>rly priced health coverage, if the employer allows it.</w:t>
      </w:r>
    </w:p>
    <w:sectPr w:rsidR="00F83154" w:rsidRPr="00D001DF" w:rsidSect="00C95AA1">
      <w:type w:val="continuous"/>
      <w:pgSz w:w="12240" w:h="15840"/>
      <w:pgMar w:top="432" w:right="720" w:bottom="1440" w:left="3372" w:header="720" w:footer="720" w:gutter="0"/>
      <w:cols w:num="2" w:space="24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A3E505" w14:textId="77777777" w:rsidR="00000000" w:rsidRDefault="008B53CC">
      <w:pPr>
        <w:spacing w:after="0" w:line="240" w:lineRule="auto"/>
      </w:pPr>
      <w:r>
        <w:separator/>
      </w:r>
    </w:p>
  </w:endnote>
  <w:endnote w:type="continuationSeparator" w:id="0">
    <w:p w14:paraId="25BB0CAD" w14:textId="77777777" w:rsidR="00000000" w:rsidRDefault="008B5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8FA927" w14:textId="77777777" w:rsidR="00000000" w:rsidRDefault="008B53CC">
      <w:pPr>
        <w:spacing w:after="0" w:line="240" w:lineRule="auto"/>
      </w:pPr>
      <w:r>
        <w:separator/>
      </w:r>
    </w:p>
  </w:footnote>
  <w:footnote w:type="continuationSeparator" w:id="0">
    <w:p w14:paraId="32138B0B" w14:textId="77777777" w:rsidR="00000000" w:rsidRDefault="008B53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AEBF0" w14:textId="77777777" w:rsidR="008D0E14" w:rsidRDefault="008B53CC">
    <w:pPr>
      <w:pStyle w:val="Header"/>
    </w:pPr>
    <w:r>
      <w:rPr>
        <w:noProof/>
      </w:rPr>
      <w:drawing>
        <wp:anchor distT="0" distB="0" distL="114300" distR="114300" simplePos="0" relativeHeight="251658240" behindDoc="1" locked="0" layoutInCell="1" allowOverlap="1" wp14:anchorId="0CD51E24" wp14:editId="66F1FB55">
          <wp:simplePos x="0" y="0"/>
          <wp:positionH relativeFrom="page">
            <wp:align>center</wp:align>
          </wp:positionH>
          <wp:positionV relativeFrom="page">
            <wp:align>top</wp:align>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1.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D4184"/>
    <w:multiLevelType w:val="hybridMultilevel"/>
    <w:tmpl w:val="01628884"/>
    <w:lvl w:ilvl="0" w:tplc="D1DC7C3E">
      <w:start w:val="1"/>
      <w:numFmt w:val="bullet"/>
      <w:pStyle w:val="BulletListText"/>
      <w:lvlText w:val=""/>
      <w:lvlJc w:val="left"/>
      <w:pPr>
        <w:ind w:left="720" w:hanging="360"/>
      </w:pPr>
      <w:rPr>
        <w:rFonts w:ascii="Symbol" w:hAnsi="Symbol" w:hint="default"/>
        <w:color w:val="6F61B0"/>
      </w:rPr>
    </w:lvl>
    <w:lvl w:ilvl="1" w:tplc="C060CEF4">
      <w:start w:val="1"/>
      <w:numFmt w:val="bullet"/>
      <w:lvlText w:val="o"/>
      <w:lvlJc w:val="left"/>
      <w:pPr>
        <w:ind w:left="1440" w:hanging="360"/>
      </w:pPr>
      <w:rPr>
        <w:rFonts w:ascii="Courier New" w:hAnsi="Courier New" w:cs="Courier New" w:hint="default"/>
      </w:rPr>
    </w:lvl>
    <w:lvl w:ilvl="2" w:tplc="0D32B65C">
      <w:start w:val="1"/>
      <w:numFmt w:val="bullet"/>
      <w:lvlText w:val=""/>
      <w:lvlJc w:val="left"/>
      <w:pPr>
        <w:ind w:left="2160" w:hanging="360"/>
      </w:pPr>
      <w:rPr>
        <w:rFonts w:ascii="Wingdings" w:hAnsi="Wingdings" w:hint="default"/>
      </w:rPr>
    </w:lvl>
    <w:lvl w:ilvl="3" w:tplc="7CCC1BBE">
      <w:start w:val="1"/>
      <w:numFmt w:val="bullet"/>
      <w:lvlText w:val=""/>
      <w:lvlJc w:val="left"/>
      <w:pPr>
        <w:ind w:left="2880" w:hanging="360"/>
      </w:pPr>
      <w:rPr>
        <w:rFonts w:ascii="Symbol" w:hAnsi="Symbol" w:hint="default"/>
      </w:rPr>
    </w:lvl>
    <w:lvl w:ilvl="4" w:tplc="A3C67362" w:tentative="1">
      <w:start w:val="1"/>
      <w:numFmt w:val="bullet"/>
      <w:lvlText w:val="o"/>
      <w:lvlJc w:val="left"/>
      <w:pPr>
        <w:ind w:left="3600" w:hanging="360"/>
      </w:pPr>
      <w:rPr>
        <w:rFonts w:ascii="Courier New" w:hAnsi="Courier New" w:cs="Courier New" w:hint="default"/>
      </w:rPr>
    </w:lvl>
    <w:lvl w:ilvl="5" w:tplc="E6EA4B70" w:tentative="1">
      <w:start w:val="1"/>
      <w:numFmt w:val="bullet"/>
      <w:lvlText w:val=""/>
      <w:lvlJc w:val="left"/>
      <w:pPr>
        <w:ind w:left="4320" w:hanging="360"/>
      </w:pPr>
      <w:rPr>
        <w:rFonts w:ascii="Wingdings" w:hAnsi="Wingdings" w:hint="default"/>
      </w:rPr>
    </w:lvl>
    <w:lvl w:ilvl="6" w:tplc="8F180D56" w:tentative="1">
      <w:start w:val="1"/>
      <w:numFmt w:val="bullet"/>
      <w:lvlText w:val=""/>
      <w:lvlJc w:val="left"/>
      <w:pPr>
        <w:ind w:left="5040" w:hanging="360"/>
      </w:pPr>
      <w:rPr>
        <w:rFonts w:ascii="Symbol" w:hAnsi="Symbol" w:hint="default"/>
      </w:rPr>
    </w:lvl>
    <w:lvl w:ilvl="7" w:tplc="F738EA14" w:tentative="1">
      <w:start w:val="1"/>
      <w:numFmt w:val="bullet"/>
      <w:lvlText w:val="o"/>
      <w:lvlJc w:val="left"/>
      <w:pPr>
        <w:ind w:left="5760" w:hanging="360"/>
      </w:pPr>
      <w:rPr>
        <w:rFonts w:ascii="Courier New" w:hAnsi="Courier New" w:cs="Courier New" w:hint="default"/>
      </w:rPr>
    </w:lvl>
    <w:lvl w:ilvl="8" w:tplc="9CBC4000" w:tentative="1">
      <w:start w:val="1"/>
      <w:numFmt w:val="bullet"/>
      <w:lvlText w:val=""/>
      <w:lvlJc w:val="left"/>
      <w:pPr>
        <w:ind w:left="6480" w:hanging="360"/>
      </w:pPr>
      <w:rPr>
        <w:rFonts w:ascii="Wingdings" w:hAnsi="Wingdings" w:hint="default"/>
      </w:rPr>
    </w:lvl>
  </w:abstractNum>
  <w:abstractNum w:abstractNumId="1" w15:restartNumberingAfterBreak="0">
    <w:nsid w:val="02F64378"/>
    <w:multiLevelType w:val="hybridMultilevel"/>
    <w:tmpl w:val="4A6CA8A0"/>
    <w:lvl w:ilvl="0" w:tplc="B0ECC9B4">
      <w:start w:val="1"/>
      <w:numFmt w:val="bullet"/>
      <w:lvlText w:val=""/>
      <w:lvlJc w:val="left"/>
      <w:pPr>
        <w:ind w:left="720" w:hanging="360"/>
      </w:pPr>
      <w:rPr>
        <w:rFonts w:ascii="Symbol" w:hAnsi="Symbol" w:hint="default"/>
      </w:rPr>
    </w:lvl>
    <w:lvl w:ilvl="1" w:tplc="B96044B0" w:tentative="1">
      <w:start w:val="1"/>
      <w:numFmt w:val="bullet"/>
      <w:lvlText w:val="o"/>
      <w:lvlJc w:val="left"/>
      <w:pPr>
        <w:ind w:left="1440" w:hanging="360"/>
      </w:pPr>
      <w:rPr>
        <w:rFonts w:ascii="Courier New" w:hAnsi="Courier New" w:cs="Courier New" w:hint="default"/>
      </w:rPr>
    </w:lvl>
    <w:lvl w:ilvl="2" w:tplc="7910F51C" w:tentative="1">
      <w:start w:val="1"/>
      <w:numFmt w:val="bullet"/>
      <w:lvlText w:val=""/>
      <w:lvlJc w:val="left"/>
      <w:pPr>
        <w:ind w:left="2160" w:hanging="360"/>
      </w:pPr>
      <w:rPr>
        <w:rFonts w:ascii="Wingdings" w:hAnsi="Wingdings" w:hint="default"/>
      </w:rPr>
    </w:lvl>
    <w:lvl w:ilvl="3" w:tplc="D9E4912E" w:tentative="1">
      <w:start w:val="1"/>
      <w:numFmt w:val="bullet"/>
      <w:lvlText w:val=""/>
      <w:lvlJc w:val="left"/>
      <w:pPr>
        <w:ind w:left="2880" w:hanging="360"/>
      </w:pPr>
      <w:rPr>
        <w:rFonts w:ascii="Symbol" w:hAnsi="Symbol" w:hint="default"/>
      </w:rPr>
    </w:lvl>
    <w:lvl w:ilvl="4" w:tplc="11B49BD4" w:tentative="1">
      <w:start w:val="1"/>
      <w:numFmt w:val="bullet"/>
      <w:lvlText w:val="o"/>
      <w:lvlJc w:val="left"/>
      <w:pPr>
        <w:ind w:left="3600" w:hanging="360"/>
      </w:pPr>
      <w:rPr>
        <w:rFonts w:ascii="Courier New" w:hAnsi="Courier New" w:cs="Courier New" w:hint="default"/>
      </w:rPr>
    </w:lvl>
    <w:lvl w:ilvl="5" w:tplc="81AE8D68" w:tentative="1">
      <w:start w:val="1"/>
      <w:numFmt w:val="bullet"/>
      <w:lvlText w:val=""/>
      <w:lvlJc w:val="left"/>
      <w:pPr>
        <w:ind w:left="4320" w:hanging="360"/>
      </w:pPr>
      <w:rPr>
        <w:rFonts w:ascii="Wingdings" w:hAnsi="Wingdings" w:hint="default"/>
      </w:rPr>
    </w:lvl>
    <w:lvl w:ilvl="6" w:tplc="3F921B64" w:tentative="1">
      <w:start w:val="1"/>
      <w:numFmt w:val="bullet"/>
      <w:lvlText w:val=""/>
      <w:lvlJc w:val="left"/>
      <w:pPr>
        <w:ind w:left="5040" w:hanging="360"/>
      </w:pPr>
      <w:rPr>
        <w:rFonts w:ascii="Symbol" w:hAnsi="Symbol" w:hint="default"/>
      </w:rPr>
    </w:lvl>
    <w:lvl w:ilvl="7" w:tplc="36362286" w:tentative="1">
      <w:start w:val="1"/>
      <w:numFmt w:val="bullet"/>
      <w:lvlText w:val="o"/>
      <w:lvlJc w:val="left"/>
      <w:pPr>
        <w:ind w:left="5760" w:hanging="360"/>
      </w:pPr>
      <w:rPr>
        <w:rFonts w:ascii="Courier New" w:hAnsi="Courier New" w:cs="Courier New" w:hint="default"/>
      </w:rPr>
    </w:lvl>
    <w:lvl w:ilvl="8" w:tplc="E294DD06" w:tentative="1">
      <w:start w:val="1"/>
      <w:numFmt w:val="bullet"/>
      <w:lvlText w:val=""/>
      <w:lvlJc w:val="left"/>
      <w:pPr>
        <w:ind w:left="6480" w:hanging="360"/>
      </w:pPr>
      <w:rPr>
        <w:rFonts w:ascii="Wingdings" w:hAnsi="Wingdings" w:hint="default"/>
      </w:rPr>
    </w:lvl>
  </w:abstractNum>
  <w:abstractNum w:abstractNumId="2" w15:restartNumberingAfterBreak="0">
    <w:nsid w:val="1C9531B8"/>
    <w:multiLevelType w:val="hybridMultilevel"/>
    <w:tmpl w:val="2FBCC732"/>
    <w:lvl w:ilvl="0" w:tplc="00FC3608">
      <w:start w:val="1"/>
      <w:numFmt w:val="bullet"/>
      <w:lvlText w:val=""/>
      <w:lvlJc w:val="left"/>
      <w:pPr>
        <w:ind w:left="720" w:hanging="360"/>
      </w:pPr>
      <w:rPr>
        <w:rFonts w:ascii="Symbol" w:hAnsi="Symbol" w:hint="default"/>
      </w:rPr>
    </w:lvl>
    <w:lvl w:ilvl="1" w:tplc="2116C6B2" w:tentative="1">
      <w:start w:val="1"/>
      <w:numFmt w:val="bullet"/>
      <w:lvlText w:val="o"/>
      <w:lvlJc w:val="left"/>
      <w:pPr>
        <w:ind w:left="1440" w:hanging="360"/>
      </w:pPr>
      <w:rPr>
        <w:rFonts w:ascii="Courier New" w:hAnsi="Courier New" w:cs="Courier New" w:hint="default"/>
      </w:rPr>
    </w:lvl>
    <w:lvl w:ilvl="2" w:tplc="17B4AD96" w:tentative="1">
      <w:start w:val="1"/>
      <w:numFmt w:val="bullet"/>
      <w:lvlText w:val=""/>
      <w:lvlJc w:val="left"/>
      <w:pPr>
        <w:ind w:left="2160" w:hanging="360"/>
      </w:pPr>
      <w:rPr>
        <w:rFonts w:ascii="Wingdings" w:hAnsi="Wingdings" w:hint="default"/>
      </w:rPr>
    </w:lvl>
    <w:lvl w:ilvl="3" w:tplc="CAB03970" w:tentative="1">
      <w:start w:val="1"/>
      <w:numFmt w:val="bullet"/>
      <w:lvlText w:val=""/>
      <w:lvlJc w:val="left"/>
      <w:pPr>
        <w:ind w:left="2880" w:hanging="360"/>
      </w:pPr>
      <w:rPr>
        <w:rFonts w:ascii="Symbol" w:hAnsi="Symbol" w:hint="default"/>
      </w:rPr>
    </w:lvl>
    <w:lvl w:ilvl="4" w:tplc="0BE8422A" w:tentative="1">
      <w:start w:val="1"/>
      <w:numFmt w:val="bullet"/>
      <w:lvlText w:val="o"/>
      <w:lvlJc w:val="left"/>
      <w:pPr>
        <w:ind w:left="3600" w:hanging="360"/>
      </w:pPr>
      <w:rPr>
        <w:rFonts w:ascii="Courier New" w:hAnsi="Courier New" w:cs="Courier New" w:hint="default"/>
      </w:rPr>
    </w:lvl>
    <w:lvl w:ilvl="5" w:tplc="D9484888" w:tentative="1">
      <w:start w:val="1"/>
      <w:numFmt w:val="bullet"/>
      <w:lvlText w:val=""/>
      <w:lvlJc w:val="left"/>
      <w:pPr>
        <w:ind w:left="4320" w:hanging="360"/>
      </w:pPr>
      <w:rPr>
        <w:rFonts w:ascii="Wingdings" w:hAnsi="Wingdings" w:hint="default"/>
      </w:rPr>
    </w:lvl>
    <w:lvl w:ilvl="6" w:tplc="EDD6DE4A" w:tentative="1">
      <w:start w:val="1"/>
      <w:numFmt w:val="bullet"/>
      <w:lvlText w:val=""/>
      <w:lvlJc w:val="left"/>
      <w:pPr>
        <w:ind w:left="5040" w:hanging="360"/>
      </w:pPr>
      <w:rPr>
        <w:rFonts w:ascii="Symbol" w:hAnsi="Symbol" w:hint="default"/>
      </w:rPr>
    </w:lvl>
    <w:lvl w:ilvl="7" w:tplc="70B09AB8" w:tentative="1">
      <w:start w:val="1"/>
      <w:numFmt w:val="bullet"/>
      <w:lvlText w:val="o"/>
      <w:lvlJc w:val="left"/>
      <w:pPr>
        <w:ind w:left="5760" w:hanging="360"/>
      </w:pPr>
      <w:rPr>
        <w:rFonts w:ascii="Courier New" w:hAnsi="Courier New" w:cs="Courier New" w:hint="default"/>
      </w:rPr>
    </w:lvl>
    <w:lvl w:ilvl="8" w:tplc="03542A4C" w:tentative="1">
      <w:start w:val="1"/>
      <w:numFmt w:val="bullet"/>
      <w:lvlText w:val=""/>
      <w:lvlJc w:val="left"/>
      <w:pPr>
        <w:ind w:left="6480" w:hanging="360"/>
      </w:pPr>
      <w:rPr>
        <w:rFonts w:ascii="Wingdings" w:hAnsi="Wingdings" w:hint="default"/>
      </w:rPr>
    </w:lvl>
  </w:abstractNum>
  <w:abstractNum w:abstractNumId="3" w15:restartNumberingAfterBreak="0">
    <w:nsid w:val="1DC95092"/>
    <w:multiLevelType w:val="hybridMultilevel"/>
    <w:tmpl w:val="8F4CFAF2"/>
    <w:lvl w:ilvl="0" w:tplc="252A0318">
      <w:start w:val="1"/>
      <w:numFmt w:val="bullet"/>
      <w:pStyle w:val="BulletList"/>
      <w:lvlText w:val=""/>
      <w:lvlJc w:val="left"/>
      <w:pPr>
        <w:ind w:left="720" w:hanging="360"/>
      </w:pPr>
      <w:rPr>
        <w:rFonts w:ascii="Symbol" w:hAnsi="Symbol" w:hint="default"/>
      </w:rPr>
    </w:lvl>
    <w:lvl w:ilvl="1" w:tplc="0B004D9C" w:tentative="1">
      <w:start w:val="1"/>
      <w:numFmt w:val="bullet"/>
      <w:lvlText w:val="o"/>
      <w:lvlJc w:val="left"/>
      <w:pPr>
        <w:ind w:left="1440" w:hanging="360"/>
      </w:pPr>
      <w:rPr>
        <w:rFonts w:ascii="Courier New" w:hAnsi="Courier New" w:cs="Courier New" w:hint="default"/>
      </w:rPr>
    </w:lvl>
    <w:lvl w:ilvl="2" w:tplc="CD20D730" w:tentative="1">
      <w:start w:val="1"/>
      <w:numFmt w:val="bullet"/>
      <w:lvlText w:val=""/>
      <w:lvlJc w:val="left"/>
      <w:pPr>
        <w:ind w:left="2160" w:hanging="360"/>
      </w:pPr>
      <w:rPr>
        <w:rFonts w:ascii="Wingdings" w:hAnsi="Wingdings" w:hint="default"/>
      </w:rPr>
    </w:lvl>
    <w:lvl w:ilvl="3" w:tplc="C974DAA2" w:tentative="1">
      <w:start w:val="1"/>
      <w:numFmt w:val="bullet"/>
      <w:lvlText w:val=""/>
      <w:lvlJc w:val="left"/>
      <w:pPr>
        <w:ind w:left="2880" w:hanging="360"/>
      </w:pPr>
      <w:rPr>
        <w:rFonts w:ascii="Symbol" w:hAnsi="Symbol" w:hint="default"/>
      </w:rPr>
    </w:lvl>
    <w:lvl w:ilvl="4" w:tplc="35008874" w:tentative="1">
      <w:start w:val="1"/>
      <w:numFmt w:val="bullet"/>
      <w:lvlText w:val="o"/>
      <w:lvlJc w:val="left"/>
      <w:pPr>
        <w:ind w:left="3600" w:hanging="360"/>
      </w:pPr>
      <w:rPr>
        <w:rFonts w:ascii="Courier New" w:hAnsi="Courier New" w:cs="Courier New" w:hint="default"/>
      </w:rPr>
    </w:lvl>
    <w:lvl w:ilvl="5" w:tplc="3782F3F8" w:tentative="1">
      <w:start w:val="1"/>
      <w:numFmt w:val="bullet"/>
      <w:lvlText w:val=""/>
      <w:lvlJc w:val="left"/>
      <w:pPr>
        <w:ind w:left="4320" w:hanging="360"/>
      </w:pPr>
      <w:rPr>
        <w:rFonts w:ascii="Wingdings" w:hAnsi="Wingdings" w:hint="default"/>
      </w:rPr>
    </w:lvl>
    <w:lvl w:ilvl="6" w:tplc="3BAA5068" w:tentative="1">
      <w:start w:val="1"/>
      <w:numFmt w:val="bullet"/>
      <w:lvlText w:val=""/>
      <w:lvlJc w:val="left"/>
      <w:pPr>
        <w:ind w:left="5040" w:hanging="360"/>
      </w:pPr>
      <w:rPr>
        <w:rFonts w:ascii="Symbol" w:hAnsi="Symbol" w:hint="default"/>
      </w:rPr>
    </w:lvl>
    <w:lvl w:ilvl="7" w:tplc="2D10437E" w:tentative="1">
      <w:start w:val="1"/>
      <w:numFmt w:val="bullet"/>
      <w:lvlText w:val="o"/>
      <w:lvlJc w:val="left"/>
      <w:pPr>
        <w:ind w:left="5760" w:hanging="360"/>
      </w:pPr>
      <w:rPr>
        <w:rFonts w:ascii="Courier New" w:hAnsi="Courier New" w:cs="Courier New" w:hint="default"/>
      </w:rPr>
    </w:lvl>
    <w:lvl w:ilvl="8" w:tplc="C750BC7E" w:tentative="1">
      <w:start w:val="1"/>
      <w:numFmt w:val="bullet"/>
      <w:lvlText w:val=""/>
      <w:lvlJc w:val="left"/>
      <w:pPr>
        <w:ind w:left="6480" w:hanging="360"/>
      </w:pPr>
      <w:rPr>
        <w:rFonts w:ascii="Wingdings" w:hAnsi="Wingdings" w:hint="default"/>
      </w:rPr>
    </w:lvl>
  </w:abstractNum>
  <w:abstractNum w:abstractNumId="4" w15:restartNumberingAfterBreak="0">
    <w:nsid w:val="2D0C5AEA"/>
    <w:multiLevelType w:val="hybridMultilevel"/>
    <w:tmpl w:val="A56810E2"/>
    <w:lvl w:ilvl="0" w:tplc="452E5E64">
      <w:start w:val="1"/>
      <w:numFmt w:val="decimal"/>
      <w:pStyle w:val="NumberedList"/>
      <w:lvlText w:val="%1."/>
      <w:lvlJc w:val="left"/>
      <w:pPr>
        <w:ind w:left="810" w:hanging="360"/>
      </w:pPr>
      <w:rPr>
        <w:rFonts w:hint="default"/>
        <w:b/>
        <w:i w:val="0"/>
      </w:rPr>
    </w:lvl>
    <w:lvl w:ilvl="1" w:tplc="904C2432" w:tentative="1">
      <w:start w:val="1"/>
      <w:numFmt w:val="lowerLetter"/>
      <w:lvlText w:val="%2."/>
      <w:lvlJc w:val="left"/>
      <w:pPr>
        <w:ind w:left="1530" w:hanging="360"/>
      </w:pPr>
    </w:lvl>
    <w:lvl w:ilvl="2" w:tplc="07EA0272" w:tentative="1">
      <w:start w:val="1"/>
      <w:numFmt w:val="lowerRoman"/>
      <w:lvlText w:val="%3."/>
      <w:lvlJc w:val="right"/>
      <w:pPr>
        <w:ind w:left="2250" w:hanging="180"/>
      </w:pPr>
    </w:lvl>
    <w:lvl w:ilvl="3" w:tplc="3C7E1536" w:tentative="1">
      <w:start w:val="1"/>
      <w:numFmt w:val="decimal"/>
      <w:lvlText w:val="%4."/>
      <w:lvlJc w:val="left"/>
      <w:pPr>
        <w:ind w:left="2970" w:hanging="360"/>
      </w:pPr>
    </w:lvl>
    <w:lvl w:ilvl="4" w:tplc="05A845E2" w:tentative="1">
      <w:start w:val="1"/>
      <w:numFmt w:val="lowerLetter"/>
      <w:lvlText w:val="%5."/>
      <w:lvlJc w:val="left"/>
      <w:pPr>
        <w:ind w:left="3690" w:hanging="360"/>
      </w:pPr>
    </w:lvl>
    <w:lvl w:ilvl="5" w:tplc="4242656C" w:tentative="1">
      <w:start w:val="1"/>
      <w:numFmt w:val="lowerRoman"/>
      <w:lvlText w:val="%6."/>
      <w:lvlJc w:val="right"/>
      <w:pPr>
        <w:ind w:left="4410" w:hanging="180"/>
      </w:pPr>
    </w:lvl>
    <w:lvl w:ilvl="6" w:tplc="564C01C6" w:tentative="1">
      <w:start w:val="1"/>
      <w:numFmt w:val="decimal"/>
      <w:lvlText w:val="%7."/>
      <w:lvlJc w:val="left"/>
      <w:pPr>
        <w:ind w:left="5130" w:hanging="360"/>
      </w:pPr>
    </w:lvl>
    <w:lvl w:ilvl="7" w:tplc="52A04EAC" w:tentative="1">
      <w:start w:val="1"/>
      <w:numFmt w:val="lowerLetter"/>
      <w:lvlText w:val="%8."/>
      <w:lvlJc w:val="left"/>
      <w:pPr>
        <w:ind w:left="5850" w:hanging="360"/>
      </w:pPr>
    </w:lvl>
    <w:lvl w:ilvl="8" w:tplc="775EAC6A" w:tentative="1">
      <w:start w:val="1"/>
      <w:numFmt w:val="lowerRoman"/>
      <w:lvlText w:val="%9."/>
      <w:lvlJc w:val="right"/>
      <w:pPr>
        <w:ind w:left="6570" w:hanging="180"/>
      </w:pPr>
    </w:lvl>
  </w:abstractNum>
  <w:abstractNum w:abstractNumId="5" w15:restartNumberingAfterBreak="0">
    <w:nsid w:val="4DC37B0E"/>
    <w:multiLevelType w:val="hybridMultilevel"/>
    <w:tmpl w:val="35009BDA"/>
    <w:lvl w:ilvl="0" w:tplc="57864B1C">
      <w:start w:val="1"/>
      <w:numFmt w:val="bullet"/>
      <w:lvlText w:val=""/>
      <w:lvlJc w:val="left"/>
      <w:pPr>
        <w:ind w:left="720" w:hanging="360"/>
      </w:pPr>
      <w:rPr>
        <w:rFonts w:ascii="Symbol" w:hAnsi="Symbol" w:hint="default"/>
      </w:rPr>
    </w:lvl>
    <w:lvl w:ilvl="1" w:tplc="BFB4D7D6" w:tentative="1">
      <w:start w:val="1"/>
      <w:numFmt w:val="bullet"/>
      <w:lvlText w:val="o"/>
      <w:lvlJc w:val="left"/>
      <w:pPr>
        <w:ind w:left="1440" w:hanging="360"/>
      </w:pPr>
      <w:rPr>
        <w:rFonts w:ascii="Courier New" w:hAnsi="Courier New" w:cs="Courier New" w:hint="default"/>
      </w:rPr>
    </w:lvl>
    <w:lvl w:ilvl="2" w:tplc="D5300A38" w:tentative="1">
      <w:start w:val="1"/>
      <w:numFmt w:val="bullet"/>
      <w:lvlText w:val=""/>
      <w:lvlJc w:val="left"/>
      <w:pPr>
        <w:ind w:left="2160" w:hanging="360"/>
      </w:pPr>
      <w:rPr>
        <w:rFonts w:ascii="Wingdings" w:hAnsi="Wingdings" w:hint="default"/>
      </w:rPr>
    </w:lvl>
    <w:lvl w:ilvl="3" w:tplc="7D1AE1CE" w:tentative="1">
      <w:start w:val="1"/>
      <w:numFmt w:val="bullet"/>
      <w:lvlText w:val=""/>
      <w:lvlJc w:val="left"/>
      <w:pPr>
        <w:ind w:left="2880" w:hanging="360"/>
      </w:pPr>
      <w:rPr>
        <w:rFonts w:ascii="Symbol" w:hAnsi="Symbol" w:hint="default"/>
      </w:rPr>
    </w:lvl>
    <w:lvl w:ilvl="4" w:tplc="35E027D2" w:tentative="1">
      <w:start w:val="1"/>
      <w:numFmt w:val="bullet"/>
      <w:lvlText w:val="o"/>
      <w:lvlJc w:val="left"/>
      <w:pPr>
        <w:ind w:left="3600" w:hanging="360"/>
      </w:pPr>
      <w:rPr>
        <w:rFonts w:ascii="Courier New" w:hAnsi="Courier New" w:cs="Courier New" w:hint="default"/>
      </w:rPr>
    </w:lvl>
    <w:lvl w:ilvl="5" w:tplc="1AA6AB0C" w:tentative="1">
      <w:start w:val="1"/>
      <w:numFmt w:val="bullet"/>
      <w:lvlText w:val=""/>
      <w:lvlJc w:val="left"/>
      <w:pPr>
        <w:ind w:left="4320" w:hanging="360"/>
      </w:pPr>
      <w:rPr>
        <w:rFonts w:ascii="Wingdings" w:hAnsi="Wingdings" w:hint="default"/>
      </w:rPr>
    </w:lvl>
    <w:lvl w:ilvl="6" w:tplc="7F069AF0" w:tentative="1">
      <w:start w:val="1"/>
      <w:numFmt w:val="bullet"/>
      <w:lvlText w:val=""/>
      <w:lvlJc w:val="left"/>
      <w:pPr>
        <w:ind w:left="5040" w:hanging="360"/>
      </w:pPr>
      <w:rPr>
        <w:rFonts w:ascii="Symbol" w:hAnsi="Symbol" w:hint="default"/>
      </w:rPr>
    </w:lvl>
    <w:lvl w:ilvl="7" w:tplc="8B26CB5A" w:tentative="1">
      <w:start w:val="1"/>
      <w:numFmt w:val="bullet"/>
      <w:lvlText w:val="o"/>
      <w:lvlJc w:val="left"/>
      <w:pPr>
        <w:ind w:left="5760" w:hanging="360"/>
      </w:pPr>
      <w:rPr>
        <w:rFonts w:ascii="Courier New" w:hAnsi="Courier New" w:cs="Courier New" w:hint="default"/>
      </w:rPr>
    </w:lvl>
    <w:lvl w:ilvl="8" w:tplc="DC30BAEC" w:tentative="1">
      <w:start w:val="1"/>
      <w:numFmt w:val="bullet"/>
      <w:lvlText w:val=""/>
      <w:lvlJc w:val="left"/>
      <w:pPr>
        <w:ind w:left="6480" w:hanging="360"/>
      </w:pPr>
      <w:rPr>
        <w:rFonts w:ascii="Wingdings" w:hAnsi="Wingdings" w:hint="default"/>
      </w:rPr>
    </w:lvl>
  </w:abstractNum>
  <w:abstractNum w:abstractNumId="6" w15:restartNumberingAfterBreak="0">
    <w:nsid w:val="62CF7BF7"/>
    <w:multiLevelType w:val="hybridMultilevel"/>
    <w:tmpl w:val="3062703C"/>
    <w:lvl w:ilvl="0" w:tplc="4DB8DBE2">
      <w:start w:val="1"/>
      <w:numFmt w:val="bullet"/>
      <w:lvlText w:val=""/>
      <w:lvlJc w:val="left"/>
      <w:pPr>
        <w:ind w:left="720" w:hanging="360"/>
      </w:pPr>
      <w:rPr>
        <w:rFonts w:ascii="Symbol" w:hAnsi="Symbol" w:hint="default"/>
      </w:rPr>
    </w:lvl>
    <w:lvl w:ilvl="1" w:tplc="0D18BBB2" w:tentative="1">
      <w:start w:val="1"/>
      <w:numFmt w:val="bullet"/>
      <w:lvlText w:val="o"/>
      <w:lvlJc w:val="left"/>
      <w:pPr>
        <w:ind w:left="1440" w:hanging="360"/>
      </w:pPr>
      <w:rPr>
        <w:rFonts w:ascii="Courier New" w:hAnsi="Courier New" w:cs="Courier New" w:hint="default"/>
      </w:rPr>
    </w:lvl>
    <w:lvl w:ilvl="2" w:tplc="52ACF4EC" w:tentative="1">
      <w:start w:val="1"/>
      <w:numFmt w:val="bullet"/>
      <w:lvlText w:val=""/>
      <w:lvlJc w:val="left"/>
      <w:pPr>
        <w:ind w:left="2160" w:hanging="360"/>
      </w:pPr>
      <w:rPr>
        <w:rFonts w:ascii="Wingdings" w:hAnsi="Wingdings" w:hint="default"/>
      </w:rPr>
    </w:lvl>
    <w:lvl w:ilvl="3" w:tplc="BFD4A51A" w:tentative="1">
      <w:start w:val="1"/>
      <w:numFmt w:val="bullet"/>
      <w:lvlText w:val=""/>
      <w:lvlJc w:val="left"/>
      <w:pPr>
        <w:ind w:left="2880" w:hanging="360"/>
      </w:pPr>
      <w:rPr>
        <w:rFonts w:ascii="Symbol" w:hAnsi="Symbol" w:hint="default"/>
      </w:rPr>
    </w:lvl>
    <w:lvl w:ilvl="4" w:tplc="7EE45894" w:tentative="1">
      <w:start w:val="1"/>
      <w:numFmt w:val="bullet"/>
      <w:lvlText w:val="o"/>
      <w:lvlJc w:val="left"/>
      <w:pPr>
        <w:ind w:left="3600" w:hanging="360"/>
      </w:pPr>
      <w:rPr>
        <w:rFonts w:ascii="Courier New" w:hAnsi="Courier New" w:cs="Courier New" w:hint="default"/>
      </w:rPr>
    </w:lvl>
    <w:lvl w:ilvl="5" w:tplc="7EA86CA4" w:tentative="1">
      <w:start w:val="1"/>
      <w:numFmt w:val="bullet"/>
      <w:lvlText w:val=""/>
      <w:lvlJc w:val="left"/>
      <w:pPr>
        <w:ind w:left="4320" w:hanging="360"/>
      </w:pPr>
      <w:rPr>
        <w:rFonts w:ascii="Wingdings" w:hAnsi="Wingdings" w:hint="default"/>
      </w:rPr>
    </w:lvl>
    <w:lvl w:ilvl="6" w:tplc="34A29908" w:tentative="1">
      <w:start w:val="1"/>
      <w:numFmt w:val="bullet"/>
      <w:lvlText w:val=""/>
      <w:lvlJc w:val="left"/>
      <w:pPr>
        <w:ind w:left="5040" w:hanging="360"/>
      </w:pPr>
      <w:rPr>
        <w:rFonts w:ascii="Symbol" w:hAnsi="Symbol" w:hint="default"/>
      </w:rPr>
    </w:lvl>
    <w:lvl w:ilvl="7" w:tplc="5D7A6F60" w:tentative="1">
      <w:start w:val="1"/>
      <w:numFmt w:val="bullet"/>
      <w:lvlText w:val="o"/>
      <w:lvlJc w:val="left"/>
      <w:pPr>
        <w:ind w:left="5760" w:hanging="360"/>
      </w:pPr>
      <w:rPr>
        <w:rFonts w:ascii="Courier New" w:hAnsi="Courier New" w:cs="Courier New" w:hint="default"/>
      </w:rPr>
    </w:lvl>
    <w:lvl w:ilvl="8" w:tplc="330A51C4" w:tentative="1">
      <w:start w:val="1"/>
      <w:numFmt w:val="bullet"/>
      <w:lvlText w:val=""/>
      <w:lvlJc w:val="left"/>
      <w:pPr>
        <w:ind w:left="6480" w:hanging="360"/>
      </w:pPr>
      <w:rPr>
        <w:rFonts w:ascii="Wingdings" w:hAnsi="Wingdings" w:hint="default"/>
      </w:rPr>
    </w:lvl>
  </w:abstractNum>
  <w:abstractNum w:abstractNumId="7" w15:restartNumberingAfterBreak="0">
    <w:nsid w:val="695D6A28"/>
    <w:multiLevelType w:val="hybridMultilevel"/>
    <w:tmpl w:val="F22E57F0"/>
    <w:lvl w:ilvl="0" w:tplc="D43EF198">
      <w:start w:val="1"/>
      <w:numFmt w:val="bullet"/>
      <w:pStyle w:val="BulletedList"/>
      <w:lvlText w:val=""/>
      <w:lvlJc w:val="left"/>
      <w:pPr>
        <w:ind w:left="720" w:hanging="360"/>
      </w:pPr>
      <w:rPr>
        <w:rFonts w:ascii="Wingdings" w:hAnsi="Wingdings" w:hint="default"/>
      </w:rPr>
    </w:lvl>
    <w:lvl w:ilvl="1" w:tplc="E6B8D1CE" w:tentative="1">
      <w:start w:val="1"/>
      <w:numFmt w:val="bullet"/>
      <w:lvlText w:val="o"/>
      <w:lvlJc w:val="left"/>
      <w:pPr>
        <w:ind w:left="1440" w:hanging="360"/>
      </w:pPr>
      <w:rPr>
        <w:rFonts w:ascii="Courier New" w:hAnsi="Courier New" w:cs="Courier New" w:hint="default"/>
      </w:rPr>
    </w:lvl>
    <w:lvl w:ilvl="2" w:tplc="6B9A87B2" w:tentative="1">
      <w:start w:val="1"/>
      <w:numFmt w:val="bullet"/>
      <w:lvlText w:val=""/>
      <w:lvlJc w:val="left"/>
      <w:pPr>
        <w:ind w:left="2160" w:hanging="360"/>
      </w:pPr>
      <w:rPr>
        <w:rFonts w:ascii="Wingdings" w:hAnsi="Wingdings" w:hint="default"/>
      </w:rPr>
    </w:lvl>
    <w:lvl w:ilvl="3" w:tplc="3294C7E8" w:tentative="1">
      <w:start w:val="1"/>
      <w:numFmt w:val="bullet"/>
      <w:lvlText w:val=""/>
      <w:lvlJc w:val="left"/>
      <w:pPr>
        <w:ind w:left="2880" w:hanging="360"/>
      </w:pPr>
      <w:rPr>
        <w:rFonts w:ascii="Symbol" w:hAnsi="Symbol" w:hint="default"/>
      </w:rPr>
    </w:lvl>
    <w:lvl w:ilvl="4" w:tplc="915C14D0" w:tentative="1">
      <w:start w:val="1"/>
      <w:numFmt w:val="bullet"/>
      <w:lvlText w:val="o"/>
      <w:lvlJc w:val="left"/>
      <w:pPr>
        <w:ind w:left="3600" w:hanging="360"/>
      </w:pPr>
      <w:rPr>
        <w:rFonts w:ascii="Courier New" w:hAnsi="Courier New" w:cs="Courier New" w:hint="default"/>
      </w:rPr>
    </w:lvl>
    <w:lvl w:ilvl="5" w:tplc="EF7CFF3E" w:tentative="1">
      <w:start w:val="1"/>
      <w:numFmt w:val="bullet"/>
      <w:lvlText w:val=""/>
      <w:lvlJc w:val="left"/>
      <w:pPr>
        <w:ind w:left="4320" w:hanging="360"/>
      </w:pPr>
      <w:rPr>
        <w:rFonts w:ascii="Wingdings" w:hAnsi="Wingdings" w:hint="default"/>
      </w:rPr>
    </w:lvl>
    <w:lvl w:ilvl="6" w:tplc="836EA244" w:tentative="1">
      <w:start w:val="1"/>
      <w:numFmt w:val="bullet"/>
      <w:lvlText w:val=""/>
      <w:lvlJc w:val="left"/>
      <w:pPr>
        <w:ind w:left="5040" w:hanging="360"/>
      </w:pPr>
      <w:rPr>
        <w:rFonts w:ascii="Symbol" w:hAnsi="Symbol" w:hint="default"/>
      </w:rPr>
    </w:lvl>
    <w:lvl w:ilvl="7" w:tplc="9ED84DA4" w:tentative="1">
      <w:start w:val="1"/>
      <w:numFmt w:val="bullet"/>
      <w:lvlText w:val="o"/>
      <w:lvlJc w:val="left"/>
      <w:pPr>
        <w:ind w:left="5760" w:hanging="360"/>
      </w:pPr>
      <w:rPr>
        <w:rFonts w:ascii="Courier New" w:hAnsi="Courier New" w:cs="Courier New" w:hint="default"/>
      </w:rPr>
    </w:lvl>
    <w:lvl w:ilvl="8" w:tplc="EDE65710"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1"/>
  </w:num>
  <w:num w:numId="5">
    <w:abstractNumId w:val="6"/>
  </w:num>
  <w:num w:numId="6">
    <w:abstractNumId w:val="3"/>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520"/>
    <w:rsid w:val="00096676"/>
    <w:rsid w:val="000A1A7C"/>
    <w:rsid w:val="000A22E5"/>
    <w:rsid w:val="000F08E0"/>
    <w:rsid w:val="000F498F"/>
    <w:rsid w:val="000F6BF7"/>
    <w:rsid w:val="001176E5"/>
    <w:rsid w:val="001213A0"/>
    <w:rsid w:val="00137036"/>
    <w:rsid w:val="00185FD8"/>
    <w:rsid w:val="001932BA"/>
    <w:rsid w:val="001A6F73"/>
    <w:rsid w:val="001F619A"/>
    <w:rsid w:val="0020115E"/>
    <w:rsid w:val="002A5EBE"/>
    <w:rsid w:val="002B67A3"/>
    <w:rsid w:val="002B6B23"/>
    <w:rsid w:val="002F38B6"/>
    <w:rsid w:val="003114EC"/>
    <w:rsid w:val="003544B1"/>
    <w:rsid w:val="00391CD4"/>
    <w:rsid w:val="004431DE"/>
    <w:rsid w:val="00450F07"/>
    <w:rsid w:val="0045285D"/>
    <w:rsid w:val="004B0128"/>
    <w:rsid w:val="0051484C"/>
    <w:rsid w:val="0053575D"/>
    <w:rsid w:val="005455C0"/>
    <w:rsid w:val="005D59F3"/>
    <w:rsid w:val="00607E4B"/>
    <w:rsid w:val="0064631E"/>
    <w:rsid w:val="006B1552"/>
    <w:rsid w:val="006B7630"/>
    <w:rsid w:val="00736302"/>
    <w:rsid w:val="00792C11"/>
    <w:rsid w:val="00792F89"/>
    <w:rsid w:val="007C66EC"/>
    <w:rsid w:val="008265F1"/>
    <w:rsid w:val="00841C46"/>
    <w:rsid w:val="008A0B9A"/>
    <w:rsid w:val="008A740E"/>
    <w:rsid w:val="008B53CC"/>
    <w:rsid w:val="008B636A"/>
    <w:rsid w:val="008D0E14"/>
    <w:rsid w:val="008D7520"/>
    <w:rsid w:val="008F5DE8"/>
    <w:rsid w:val="00912334"/>
    <w:rsid w:val="00951DDB"/>
    <w:rsid w:val="00953378"/>
    <w:rsid w:val="0096300C"/>
    <w:rsid w:val="00970778"/>
    <w:rsid w:val="00974F0E"/>
    <w:rsid w:val="00986B93"/>
    <w:rsid w:val="009C336C"/>
    <w:rsid w:val="00A1062C"/>
    <w:rsid w:val="00A16E52"/>
    <w:rsid w:val="00A30C21"/>
    <w:rsid w:val="00A31CBE"/>
    <w:rsid w:val="00A57169"/>
    <w:rsid w:val="00A62634"/>
    <w:rsid w:val="00AD027A"/>
    <w:rsid w:val="00B129E0"/>
    <w:rsid w:val="00B2035A"/>
    <w:rsid w:val="00B27928"/>
    <w:rsid w:val="00B33160"/>
    <w:rsid w:val="00B36F37"/>
    <w:rsid w:val="00B85464"/>
    <w:rsid w:val="00BB5DB5"/>
    <w:rsid w:val="00BC1289"/>
    <w:rsid w:val="00C028FB"/>
    <w:rsid w:val="00C633E7"/>
    <w:rsid w:val="00C92443"/>
    <w:rsid w:val="00C95AA1"/>
    <w:rsid w:val="00CA7A2E"/>
    <w:rsid w:val="00CB25AA"/>
    <w:rsid w:val="00CC5EF1"/>
    <w:rsid w:val="00D001DF"/>
    <w:rsid w:val="00D47248"/>
    <w:rsid w:val="00D47D52"/>
    <w:rsid w:val="00D56A8B"/>
    <w:rsid w:val="00D6020C"/>
    <w:rsid w:val="00D637D5"/>
    <w:rsid w:val="00D77091"/>
    <w:rsid w:val="00DC2EC9"/>
    <w:rsid w:val="00E17698"/>
    <w:rsid w:val="00E17D84"/>
    <w:rsid w:val="00E63837"/>
    <w:rsid w:val="00ED6866"/>
    <w:rsid w:val="00F02840"/>
    <w:rsid w:val="00F505DA"/>
    <w:rsid w:val="00F83154"/>
    <w:rsid w:val="00F90E5E"/>
    <w:rsid w:val="00FA59F8"/>
    <w:rsid w:val="00FE5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A1537"/>
  <w15:chartTrackingRefBased/>
  <w15:docId w15:val="{676DE72F-0FDC-41A8-9BE7-3959E4147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5A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5ABD"/>
  </w:style>
  <w:style w:type="paragraph" w:styleId="Footer">
    <w:name w:val="footer"/>
    <w:basedOn w:val="Normal"/>
    <w:link w:val="FooterChar"/>
    <w:uiPriority w:val="99"/>
    <w:unhideWhenUsed/>
    <w:rsid w:val="00FE5A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ABD"/>
  </w:style>
  <w:style w:type="paragraph" w:customStyle="1" w:styleId="ArticleHeader">
    <w:name w:val="Article Header"/>
    <w:basedOn w:val="Normal"/>
    <w:link w:val="ArticleHeaderChar"/>
    <w:rsid w:val="000A1A7C"/>
    <w:pPr>
      <w:spacing w:after="0" w:line="240" w:lineRule="auto"/>
    </w:pPr>
    <w:rPr>
      <w:rFonts w:ascii="Arial" w:hAnsi="Arial" w:cs="Arial"/>
      <w:b/>
      <w:sz w:val="32"/>
      <w:szCs w:val="32"/>
    </w:rPr>
  </w:style>
  <w:style w:type="paragraph" w:customStyle="1" w:styleId="Subheader">
    <w:name w:val="Subheader"/>
    <w:basedOn w:val="Normal"/>
    <w:link w:val="SubheaderChar"/>
    <w:rsid w:val="000A1A7C"/>
    <w:pPr>
      <w:spacing w:after="0" w:line="240" w:lineRule="auto"/>
    </w:pPr>
    <w:rPr>
      <w:rFonts w:ascii="Arial" w:hAnsi="Arial" w:cs="Arial"/>
      <w:b/>
      <w:sz w:val="26"/>
      <w:szCs w:val="26"/>
    </w:rPr>
  </w:style>
  <w:style w:type="character" w:customStyle="1" w:styleId="ArticleHeaderChar">
    <w:name w:val="Article Header Char"/>
    <w:basedOn w:val="DefaultParagraphFont"/>
    <w:link w:val="ArticleHeader"/>
    <w:rsid w:val="000A1A7C"/>
    <w:rPr>
      <w:rFonts w:ascii="Arial" w:hAnsi="Arial" w:cs="Arial"/>
      <w:b/>
      <w:sz w:val="32"/>
      <w:szCs w:val="32"/>
    </w:rPr>
  </w:style>
  <w:style w:type="paragraph" w:customStyle="1" w:styleId="BulletedList">
    <w:name w:val="Bulleted List"/>
    <w:basedOn w:val="Normal"/>
    <w:link w:val="BulletedListChar"/>
    <w:rsid w:val="000A1A7C"/>
    <w:pPr>
      <w:numPr>
        <w:numId w:val="1"/>
      </w:numPr>
      <w:spacing w:after="0" w:line="240" w:lineRule="auto"/>
    </w:pPr>
    <w:rPr>
      <w:rFonts w:ascii="Arial" w:hAnsi="Arial" w:cs="Arial"/>
    </w:rPr>
  </w:style>
  <w:style w:type="character" w:customStyle="1" w:styleId="SubheaderChar">
    <w:name w:val="Subheader Char"/>
    <w:basedOn w:val="DefaultParagraphFont"/>
    <w:link w:val="Subheader"/>
    <w:rsid w:val="000A1A7C"/>
    <w:rPr>
      <w:rFonts w:ascii="Arial" w:hAnsi="Arial" w:cs="Arial"/>
      <w:b/>
      <w:sz w:val="26"/>
      <w:szCs w:val="26"/>
    </w:rPr>
  </w:style>
  <w:style w:type="paragraph" w:customStyle="1" w:styleId="NumberedList">
    <w:name w:val="Numbered List"/>
    <w:basedOn w:val="BulletedList"/>
    <w:link w:val="NumberedListChar"/>
    <w:rsid w:val="00841C46"/>
    <w:pPr>
      <w:numPr>
        <w:numId w:val="2"/>
      </w:numPr>
      <w:ind w:left="270" w:hanging="270"/>
    </w:pPr>
  </w:style>
  <w:style w:type="character" w:customStyle="1" w:styleId="BulletedListChar">
    <w:name w:val="Bulleted List Char"/>
    <w:basedOn w:val="DefaultParagraphFont"/>
    <w:link w:val="BulletedList"/>
    <w:rsid w:val="000A1A7C"/>
    <w:rPr>
      <w:rFonts w:ascii="Arial" w:hAnsi="Arial" w:cs="Arial"/>
    </w:rPr>
  </w:style>
  <w:style w:type="character" w:customStyle="1" w:styleId="NumberedListChar">
    <w:name w:val="Numbered List Char"/>
    <w:basedOn w:val="BulletedListChar"/>
    <w:link w:val="NumberedList"/>
    <w:rsid w:val="00841C46"/>
    <w:rPr>
      <w:rFonts w:ascii="Arial" w:hAnsi="Arial" w:cs="Arial"/>
    </w:rPr>
  </w:style>
  <w:style w:type="character" w:styleId="Hyperlink">
    <w:name w:val="Hyperlink"/>
    <w:basedOn w:val="DefaultParagraphFont"/>
    <w:uiPriority w:val="99"/>
    <w:unhideWhenUsed/>
    <w:rsid w:val="002B67A3"/>
    <w:rPr>
      <w:color w:val="0563C1" w:themeColor="hyperlink"/>
      <w:u w:val="single"/>
    </w:rPr>
  </w:style>
  <w:style w:type="paragraph" w:styleId="ListParagraph">
    <w:name w:val="List Paragraph"/>
    <w:basedOn w:val="Normal"/>
    <w:uiPriority w:val="34"/>
    <w:rsid w:val="002B67A3"/>
    <w:pPr>
      <w:spacing w:line="240" w:lineRule="auto"/>
      <w:ind w:left="720"/>
      <w:contextualSpacing/>
    </w:pPr>
    <w:rPr>
      <w:rFonts w:ascii="Arial" w:hAnsi="Arial" w:cs="Arial"/>
      <w:sz w:val="20"/>
    </w:rPr>
  </w:style>
  <w:style w:type="paragraph" w:customStyle="1" w:styleId="1Header">
    <w:name w:val="1 Header"/>
    <w:basedOn w:val="ArticleHeader"/>
    <w:link w:val="1HeaderChar"/>
    <w:qFormat/>
    <w:rsid w:val="000F498F"/>
    <w:pPr>
      <w:spacing w:after="160" w:line="192" w:lineRule="auto"/>
    </w:pPr>
    <w:rPr>
      <w:rFonts w:asciiTheme="minorHAnsi" w:hAnsiTheme="minorHAnsi" w:cstheme="minorHAnsi"/>
      <w:sz w:val="36"/>
    </w:rPr>
  </w:style>
  <w:style w:type="paragraph" w:customStyle="1" w:styleId="Body">
    <w:name w:val="Body"/>
    <w:basedOn w:val="Normal"/>
    <w:link w:val="BodyChar"/>
    <w:qFormat/>
    <w:rsid w:val="0053575D"/>
    <w:rPr>
      <w:rFonts w:cstheme="minorHAnsi"/>
    </w:rPr>
  </w:style>
  <w:style w:type="character" w:customStyle="1" w:styleId="1HeaderChar">
    <w:name w:val="1 Header Char"/>
    <w:basedOn w:val="ArticleHeaderChar"/>
    <w:link w:val="1Header"/>
    <w:rsid w:val="000F498F"/>
    <w:rPr>
      <w:rFonts w:ascii="Arial" w:hAnsi="Arial" w:cstheme="minorHAnsi"/>
      <w:b/>
      <w:sz w:val="36"/>
      <w:szCs w:val="32"/>
    </w:rPr>
  </w:style>
  <w:style w:type="paragraph" w:customStyle="1" w:styleId="BulletList">
    <w:name w:val="Bullet List"/>
    <w:basedOn w:val="Body"/>
    <w:link w:val="BulletListChar"/>
    <w:qFormat/>
    <w:rsid w:val="00185FD8"/>
    <w:pPr>
      <w:numPr>
        <w:numId w:val="6"/>
      </w:numPr>
      <w:spacing w:after="60"/>
      <w:ind w:left="273" w:hanging="187"/>
    </w:pPr>
  </w:style>
  <w:style w:type="character" w:customStyle="1" w:styleId="BodyChar">
    <w:name w:val="Body Char"/>
    <w:basedOn w:val="DefaultParagraphFont"/>
    <w:link w:val="Body"/>
    <w:rsid w:val="0053575D"/>
    <w:rPr>
      <w:rFonts w:cstheme="minorHAnsi"/>
    </w:rPr>
  </w:style>
  <w:style w:type="character" w:customStyle="1" w:styleId="BulletListChar">
    <w:name w:val="Bullet List Char"/>
    <w:basedOn w:val="BodyChar"/>
    <w:link w:val="BulletList"/>
    <w:rsid w:val="00185FD8"/>
    <w:rPr>
      <w:rFonts w:cstheme="minorHAnsi"/>
    </w:rPr>
  </w:style>
  <w:style w:type="paragraph" w:customStyle="1" w:styleId="2Header">
    <w:name w:val="2 Header"/>
    <w:basedOn w:val="Normal"/>
    <w:link w:val="2HeaderChar"/>
    <w:qFormat/>
    <w:rsid w:val="00C95AA1"/>
    <w:pPr>
      <w:spacing w:after="0"/>
    </w:pPr>
    <w:rPr>
      <w:rFonts w:cstheme="minorHAnsi"/>
      <w:b/>
    </w:rPr>
  </w:style>
  <w:style w:type="character" w:customStyle="1" w:styleId="2HeaderChar">
    <w:name w:val="2 Header Char"/>
    <w:basedOn w:val="DefaultParagraphFont"/>
    <w:link w:val="2Header"/>
    <w:rsid w:val="00C95AA1"/>
    <w:rPr>
      <w:rFonts w:cstheme="minorHAnsi"/>
      <w:b/>
    </w:rPr>
  </w:style>
  <w:style w:type="character" w:customStyle="1" w:styleId="UnresolvedMention1">
    <w:name w:val="Unresolved Mention1"/>
    <w:basedOn w:val="DefaultParagraphFont"/>
    <w:uiPriority w:val="99"/>
    <w:semiHidden/>
    <w:unhideWhenUsed/>
    <w:rsid w:val="008D7520"/>
    <w:rPr>
      <w:color w:val="605E5C"/>
      <w:shd w:val="clear" w:color="auto" w:fill="E1DFDD"/>
    </w:rPr>
  </w:style>
  <w:style w:type="paragraph" w:customStyle="1" w:styleId="Disclaimer">
    <w:name w:val="Disclaimer"/>
    <w:basedOn w:val="Normal"/>
    <w:link w:val="DisclaimerChar"/>
    <w:qFormat/>
    <w:rsid w:val="008D7520"/>
    <w:rPr>
      <w:rFonts w:ascii="Verdana" w:eastAsia="Calibri" w:hAnsi="Verdana" w:cs="Times New Roman"/>
      <w:color w:val="7F7F7F"/>
      <w:sz w:val="16"/>
    </w:rPr>
  </w:style>
  <w:style w:type="character" w:customStyle="1" w:styleId="DisclaimerChar">
    <w:name w:val="Disclaimer Char"/>
    <w:link w:val="Disclaimer"/>
    <w:rsid w:val="008D7520"/>
    <w:rPr>
      <w:rFonts w:ascii="Verdana" w:eastAsia="Calibri" w:hAnsi="Verdana" w:cs="Times New Roman"/>
      <w:color w:val="7F7F7F"/>
      <w:sz w:val="16"/>
    </w:rPr>
  </w:style>
  <w:style w:type="paragraph" w:customStyle="1" w:styleId="BulletListText">
    <w:name w:val="Bullet List Text"/>
    <w:basedOn w:val="BodyText"/>
    <w:link w:val="BulletListTextChar"/>
    <w:rsid w:val="008D7520"/>
    <w:pPr>
      <w:numPr>
        <w:numId w:val="8"/>
      </w:numPr>
      <w:spacing w:after="160" w:line="240" w:lineRule="auto"/>
      <w:ind w:right="274"/>
      <w:contextualSpacing/>
      <w:jc w:val="both"/>
    </w:pPr>
    <w:rPr>
      <w:rFonts w:ascii="Calibri" w:eastAsia="Times New Roman" w:hAnsi="Calibri" w:cs="Arial"/>
      <w:color w:val="595959"/>
      <w:szCs w:val="20"/>
    </w:rPr>
  </w:style>
  <w:style w:type="character" w:customStyle="1" w:styleId="BulletListTextChar">
    <w:name w:val="Bullet List Text Char"/>
    <w:basedOn w:val="BodyTextChar"/>
    <w:link w:val="BulletListText"/>
    <w:rsid w:val="008D7520"/>
    <w:rPr>
      <w:rFonts w:ascii="Calibri" w:eastAsia="Times New Roman" w:hAnsi="Calibri" w:cs="Arial"/>
      <w:color w:val="595959"/>
      <w:szCs w:val="20"/>
    </w:rPr>
  </w:style>
  <w:style w:type="paragraph" w:styleId="BodyText">
    <w:name w:val="Body Text"/>
    <w:basedOn w:val="Normal"/>
    <w:link w:val="BodyTextChar"/>
    <w:uiPriority w:val="99"/>
    <w:semiHidden/>
    <w:unhideWhenUsed/>
    <w:rsid w:val="008D7520"/>
    <w:pPr>
      <w:spacing w:after="120"/>
    </w:pPr>
  </w:style>
  <w:style w:type="character" w:customStyle="1" w:styleId="BodyTextChar">
    <w:name w:val="Body Text Char"/>
    <w:basedOn w:val="DefaultParagraphFont"/>
    <w:link w:val="BodyText"/>
    <w:uiPriority w:val="99"/>
    <w:semiHidden/>
    <w:rsid w:val="008D75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dol.gov/general/topic/health-plans/cobra"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ww.govinfo.gov/content/pkg/FR-2019-01-24/pdf/2019-00077.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info.gov/content/pkg/FR-2019-01-24/pdf/2019-00077.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congress.gov/bill/117th-congress/house-bill/1319/text" TargetMode="External"/><Relationship Id="rId4" Type="http://schemas.openxmlformats.org/officeDocument/2006/relationships/webSettings" Target="webSettings.xml"/><Relationship Id="rId9" Type="http://schemas.openxmlformats.org/officeDocument/2006/relationships/hyperlink" Target="https://www.govinfo.gov/content/pkg/FR-2019-01-24/pdf/2019-00077.pdf"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ontent%20Development\MASTER%20TEMPLATES\EB%20Content\_Archive%20-%20Old%20Templates%20and%20Series\Benefits%20Buzz\2021\TEMPLATE%20-%20Benefits%20Buzz.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 Benefits Buzz</Template>
  <TotalTime>1</TotalTime>
  <Pages>1</Pages>
  <Words>411</Words>
  <Characters>2348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Rollefson, Becca</dc:creator>
  <cp:lastModifiedBy>Jacobs, Jessica</cp:lastModifiedBy>
  <cp:revision>2</cp:revision>
  <cp:lastPrinted>2020-10-07T17:13:00Z</cp:lastPrinted>
  <dcterms:created xsi:type="dcterms:W3CDTF">2021-03-29T20:16:00Z</dcterms:created>
  <dcterms:modified xsi:type="dcterms:W3CDTF">2021-03-29T20:16:00Z</dcterms:modified>
</cp:coreProperties>
</file>