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44F2B" w:rsidRPr="00C0624F" w:rsidP="00F97F09" w14:paraId="34DFF55E" w14:textId="2FA5EAAC">
      <w:pPr>
        <w:pStyle w:val="Article1"/>
      </w:pPr>
      <w:r w:rsidRPr="00C0624F">
        <w:drawing>
          <wp:anchor simplePos="0" relativeHeight="251658240" behindDoc="0" locked="1" layoutInCell="1" allowOverlap="1">
            <wp:simplePos x="0" y="0"/>
            <wp:positionH relativeFrom="margin">
              <wp:posOffset>5334000</wp:posOffset>
            </wp:positionH>
            <wp:positionV relativeFrom="margin">
              <wp:posOffset>5080000</wp:posOffset>
            </wp:positionV>
            <wp:extent cx="1645923" cy="1120142"/>
            <wp:wrapNone/>
            <wp:docPr id="100020"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8614"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bookmarkStart w:id="0" w:name="_GoBack"/>
      <w:bookmarkEnd w:id="0"/>
      <w:r>
        <mc:AlternateContent>
          <mc:Choice Requires="wps">
            <w:drawing>
              <wp:anchor distT="45720" distB="45720" distL="114300" distR="114300" simplePos="0" relativeHeight="251663360" behindDoc="0" locked="0" layoutInCell="1" allowOverlap="1">
                <wp:simplePos x="0" y="0"/>
                <wp:positionH relativeFrom="column">
                  <wp:posOffset>-166370</wp:posOffset>
                </wp:positionH>
                <wp:positionV relativeFrom="paragraph">
                  <wp:posOffset>371</wp:posOffset>
                </wp:positionV>
                <wp:extent cx="1627505" cy="5887720"/>
                <wp:effectExtent l="0" t="0" r="10795" b="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7505" cy="5887720"/>
                        </a:xfrm>
                        <a:prstGeom prst="rect">
                          <a:avLst/>
                        </a:prstGeom>
                        <a:noFill/>
                        <a:ln w="9525">
                          <a:noFill/>
                          <a:miter lim="800000"/>
                          <a:headEnd/>
                          <a:tailEnd/>
                        </a:ln>
                      </wps:spPr>
                      <wps:txbx>
                        <w:txbxContent>
                          <w:p w:rsidR="008A0551" w:rsidP="00410130" w14:textId="77777777">
                            <w:pPr>
                              <w:pStyle w:val="BasicCopy"/>
                              <w:rPr>
                                <w:rFonts w:asciiTheme="minorHAnsi" w:hAnsiTheme="minorHAnsi" w:cstheme="minorHAnsi"/>
                                <w:b/>
                                <w:noProof/>
                                <w:color w:val="000000"/>
                                <w:sz w:val="26"/>
                                <w:szCs w:val="26"/>
                              </w:rPr>
                            </w:pPr>
                            <w:r>
                              <w:rPr>
                                <w:rFonts w:asciiTheme="minorHAnsi" w:hAnsiTheme="minorHAnsi" w:cstheme="minorHAnsi"/>
                                <w:b/>
                                <w:noProof/>
                                <w:color w:val="000000"/>
                                <w:sz w:val="26"/>
                                <w:szCs w:val="26"/>
                              </w:rPr>
                              <w:t>Fede</w:t>
                            </w:r>
                            <w:r w:rsidRPr="008A0551">
                              <w:rPr>
                                <w:rFonts w:asciiTheme="minorHAnsi" w:hAnsiTheme="minorHAnsi" w:cstheme="minorHAnsi"/>
                                <w:b/>
                                <w:noProof/>
                                <w:color w:val="000000"/>
                                <w:sz w:val="26"/>
                                <w:szCs w:val="26"/>
                              </w:rPr>
                              <w:t>ral Agencies Issue COVID-19 Relief for Employee Benefit Plans</w:t>
                            </w:r>
                          </w:p>
                          <w:p w:rsidR="00410130" w:rsidP="008A0551" w14:textId="77777777">
                            <w:pPr>
                              <w:pStyle w:val="BasicCopy"/>
                            </w:pPr>
                            <w:r>
                              <w:t>T</w:t>
                            </w:r>
                            <w:r w:rsidRPr="008A0551" w:rsidR="008A0551">
                              <w:t xml:space="preserve">he Departments of Labor (DOL) and the Treasury (Departments) </w:t>
                            </w:r>
                            <w:r>
                              <w:t xml:space="preserve">recently </w:t>
                            </w:r>
                            <w:r w:rsidRPr="008A0551" w:rsidR="008A0551">
                              <w:t>issued deadline relief to help employee benefit plans, plan participants and plan service providers impacted by the COVID-19 outbreak.</w:t>
                            </w:r>
                            <w:r w:rsidRPr="008D08A1">
                              <w:t xml:space="preserve"> </w:t>
                            </w:r>
                          </w:p>
                          <w:p w:rsidR="008A0551" w:rsidRPr="008A0551" w:rsidP="008A0551" w14:textId="25BB1EFA">
                            <w:pPr>
                              <w:pStyle w:val="BasicCopy"/>
                              <w:spacing w:after="0"/>
                              <w:rPr>
                                <w:b/>
                              </w:rPr>
                            </w:pPr>
                            <w:r w:rsidRPr="008A0551">
                              <w:rPr>
                                <w:b/>
                              </w:rPr>
                              <w:t>Extension of Participant Time</w:t>
                            </w:r>
                            <w:r w:rsidR="005B7921">
                              <w:rPr>
                                <w:b/>
                              </w:rPr>
                              <w:t xml:space="preserve"> F</w:t>
                            </w:r>
                            <w:r w:rsidRPr="008A0551">
                              <w:rPr>
                                <w:b/>
                              </w:rPr>
                              <w:t>rames</w:t>
                            </w:r>
                          </w:p>
                          <w:p w:rsidR="008A0551" w:rsidP="008A0551" w14:textId="202E27D7">
                            <w:pPr>
                              <w:pStyle w:val="BasicCopy"/>
                            </w:pPr>
                            <w:r>
                              <w:t xml:space="preserve">The Departments issued a </w:t>
                            </w:r>
                            <w:r w:rsidRPr="002B775D">
                              <w:t>final rule</w:t>
                            </w:r>
                            <w:r>
                              <w:t xml:space="preserve"> to provide plan participants with additional time to comply with certain deadlines affecting COBRA continuation coverage, special enrollment periods, claims for benefits, appeals of denied claims and external review of certain claims. With regard to disability, retirement and other plans, the final rule provides additional time for participants and beneficiaries to make claims for benefits and appeal denied claims.</w:t>
                            </w:r>
                          </w:p>
                          <w:p w:rsidR="008A0551" w:rsidRPr="008D08A1" w:rsidP="008A0551" w14:textId="77777777">
                            <w:pPr>
                              <w:pStyle w:val="BasicCopy"/>
                            </w:pPr>
                            <w:r w:rsidRPr="008A0551">
                              <w:t xml:space="preserve">According to the Departments, without the </w:t>
                            </w:r>
                            <w:r w:rsidRPr="008A0551" w:rsidR="00551875">
                              <w:t>extension, individuals might</w:t>
                            </w:r>
                          </w:p>
                        </w:txbxContent>
                      </wps:txbx>
                      <wps:bodyPr rot="0" vert="horz" wrap="square" lIns="0" tIns="45720" rIns="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28.15pt;height:463.6pt;margin-top:0.05pt;margin-left:-13.1pt;mso-height-percent:0;mso-height-relative:margin;mso-width-percent:0;mso-width-relative:margin;mso-wrap-distance-bottom:3.6pt;mso-wrap-distance-left:9pt;mso-wrap-distance-right:9pt;mso-wrap-distance-top:3.6pt;mso-wrap-style:square;position:absolute;visibility:visible;v-text-anchor:top;z-index:251664384" filled="f" stroked="f">
                <v:textbox inset="0,,0">
                  <w:txbxContent>
                    <w:p w:rsidR="008A0551" w:rsidP="00410130" w14:paraId="5C9E350D" w14:textId="77777777">
                      <w:pPr>
                        <w:pStyle w:val="BasicCopy"/>
                        <w:rPr>
                          <w:rFonts w:asciiTheme="minorHAnsi" w:hAnsiTheme="minorHAnsi" w:cstheme="minorHAnsi"/>
                          <w:b/>
                          <w:noProof/>
                          <w:color w:val="000000"/>
                          <w:sz w:val="26"/>
                          <w:szCs w:val="26"/>
                        </w:rPr>
                      </w:pPr>
                      <w:r>
                        <w:rPr>
                          <w:rFonts w:asciiTheme="minorHAnsi" w:hAnsiTheme="minorHAnsi" w:cstheme="minorHAnsi"/>
                          <w:b/>
                          <w:noProof/>
                          <w:color w:val="000000"/>
                          <w:sz w:val="26"/>
                          <w:szCs w:val="26"/>
                        </w:rPr>
                        <w:t>Fede</w:t>
                      </w:r>
                      <w:r w:rsidRPr="008A0551">
                        <w:rPr>
                          <w:rFonts w:asciiTheme="minorHAnsi" w:hAnsiTheme="minorHAnsi" w:cstheme="minorHAnsi"/>
                          <w:b/>
                          <w:noProof/>
                          <w:color w:val="000000"/>
                          <w:sz w:val="26"/>
                          <w:szCs w:val="26"/>
                        </w:rPr>
                        <w:t>ral Agencies Issue COVID-19 Relief for Employee Benefit Plans</w:t>
                      </w:r>
                    </w:p>
                    <w:p w:rsidR="00410130" w:rsidP="008A0551" w14:paraId="3C66101C" w14:textId="77777777">
                      <w:pPr>
                        <w:pStyle w:val="BasicCopy"/>
                      </w:pPr>
                      <w:r>
                        <w:t>T</w:t>
                      </w:r>
                      <w:r w:rsidRPr="008A0551" w:rsidR="008A0551">
                        <w:t xml:space="preserve">he Departments of Labor (DOL) and the Treasury (Departments) </w:t>
                      </w:r>
                      <w:r>
                        <w:t xml:space="preserve">recently </w:t>
                      </w:r>
                      <w:r w:rsidRPr="008A0551" w:rsidR="008A0551">
                        <w:t>issued deadline relief to help employee benefit plans, plan participants and plan service providers impacted by the COVID-19 outbreak.</w:t>
                      </w:r>
                      <w:r w:rsidRPr="008D08A1">
                        <w:t xml:space="preserve"> </w:t>
                      </w:r>
                    </w:p>
                    <w:p w:rsidR="008A0551" w:rsidRPr="008A0551" w:rsidP="008A0551" w14:paraId="3284DA97" w14:textId="25BB1EFA">
                      <w:pPr>
                        <w:pStyle w:val="BasicCopy"/>
                        <w:spacing w:after="0"/>
                        <w:rPr>
                          <w:b/>
                        </w:rPr>
                      </w:pPr>
                      <w:r w:rsidRPr="008A0551">
                        <w:rPr>
                          <w:b/>
                        </w:rPr>
                        <w:t>Extension of Participant Time</w:t>
                      </w:r>
                      <w:r w:rsidR="005B7921">
                        <w:rPr>
                          <w:b/>
                        </w:rPr>
                        <w:t xml:space="preserve"> F</w:t>
                      </w:r>
                      <w:r w:rsidRPr="008A0551">
                        <w:rPr>
                          <w:b/>
                        </w:rPr>
                        <w:t>rames</w:t>
                      </w:r>
                    </w:p>
                    <w:p w:rsidR="008A0551" w:rsidP="008A0551" w14:paraId="2DC29338" w14:textId="202E27D7">
                      <w:pPr>
                        <w:pStyle w:val="BasicCopy"/>
                      </w:pPr>
                      <w:r>
                        <w:t xml:space="preserve">The Departments issued a </w:t>
                      </w:r>
                      <w:r w:rsidRPr="002B775D">
                        <w:t>final rule</w:t>
                      </w:r>
                      <w:r>
                        <w:t xml:space="preserve"> to provide plan participants with additional time to comply with certain deadlines affecting COBRA continuation coverage, special enrollment periods, claims for benefits, appeals of denied claims and external review of certain claims. With regard to disability, retirement and other plans, the final rule provides additional time for participants and beneficiaries to make claims for benefits and appeal denied claims.</w:t>
                      </w:r>
                    </w:p>
                    <w:p w:rsidR="008A0551" w:rsidRPr="008D08A1" w:rsidP="008A0551" w14:paraId="1C96A64F" w14:textId="77777777">
                      <w:pPr>
                        <w:pStyle w:val="BasicCopy"/>
                      </w:pPr>
                      <w:r w:rsidRPr="008A0551">
                        <w:t xml:space="preserve">According to the Departments, without the </w:t>
                      </w:r>
                      <w:r w:rsidRPr="008A0551" w:rsidR="00551875">
                        <w:t>extension, individuals might</w:t>
                      </w:r>
                    </w:p>
                  </w:txbxContent>
                </v:textbox>
                <w10:wrap type="square"/>
              </v:shape>
            </w:pict>
          </mc:Fallback>
        </mc:AlternateContent>
      </w:r>
      <w:r w:rsidR="00FE21E7">
        <mc:AlternateContent>
          <mc:Choice Requires="wps">
            <w:drawing>
              <wp:anchor distT="45720" distB="45720" distL="114300" distR="114300" simplePos="0" relativeHeight="251667456" behindDoc="0" locked="0" layoutInCell="1" allowOverlap="1">
                <wp:simplePos x="0" y="0"/>
                <wp:positionH relativeFrom="column">
                  <wp:posOffset>3565525</wp:posOffset>
                </wp:positionH>
                <wp:positionV relativeFrom="paragraph">
                  <wp:posOffset>0</wp:posOffset>
                </wp:positionV>
                <wp:extent cx="1627505" cy="5887720"/>
                <wp:effectExtent l="0" t="0" r="10795" b="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7505" cy="5887720"/>
                        </a:xfrm>
                        <a:prstGeom prst="rect">
                          <a:avLst/>
                        </a:prstGeom>
                        <a:noFill/>
                        <a:ln w="9525">
                          <a:noFill/>
                          <a:miter lim="800000"/>
                          <a:headEnd/>
                          <a:tailEnd/>
                        </a:ln>
                      </wps:spPr>
                      <wps:txbx>
                        <w:txbxContent>
                          <w:p w:rsidR="001C2AEA" w:rsidP="00FE21E7" w14:textId="77777777">
                            <w:pPr>
                              <w:pStyle w:val="BasicCopy"/>
                              <w:rPr>
                                <w:rFonts w:asciiTheme="minorHAnsi" w:hAnsiTheme="minorHAnsi" w:cstheme="minorHAnsi"/>
                                <w:b/>
                                <w:noProof/>
                                <w:color w:val="000000"/>
                                <w:sz w:val="26"/>
                                <w:szCs w:val="26"/>
                              </w:rPr>
                            </w:pPr>
                            <w:r w:rsidRPr="001C2AEA">
                              <w:rPr>
                                <w:rFonts w:asciiTheme="minorHAnsi" w:hAnsiTheme="minorHAnsi" w:cstheme="minorHAnsi"/>
                                <w:b/>
                                <w:noProof/>
                                <w:color w:val="000000"/>
                                <w:sz w:val="26"/>
                                <w:szCs w:val="26"/>
                              </w:rPr>
                              <w:t xml:space="preserve">Return to Work Plans Following the COVID-19 Pandemic </w:t>
                            </w:r>
                          </w:p>
                          <w:p w:rsidR="00CE5851" w:rsidP="00CE5851" w14:textId="77777777">
                            <w:pPr>
                              <w:pStyle w:val="BasicCopy"/>
                            </w:pPr>
                            <w:r w:rsidRPr="00CE5851">
                              <w:t>The coronavirus (COVID-19) pandemic has interrupted many businesses across the country. While it’s unclear how long COVID-19 will continue to affect organizations, many employers are looking to the future of employees returning to work.</w:t>
                            </w:r>
                          </w:p>
                          <w:p w:rsidR="00CE5851" w:rsidP="00CE5851" w14:textId="77777777">
                            <w:pPr>
                              <w:pStyle w:val="BasicCopy"/>
                            </w:pPr>
                            <w:r w:rsidRPr="00CE5851">
                              <w:t xml:space="preserve">In preparation for reopening your business and asking employees to come back to work, it’s imperative that your company thoughtfully constructs a </w:t>
                            </w:r>
                            <w:r w:rsidRPr="00CE5851">
                              <w:rPr>
                                <w:b/>
                              </w:rPr>
                              <w:t>return to work plan</w:t>
                            </w:r>
                            <w:r w:rsidRPr="00CE5851">
                              <w:t xml:space="preserve"> for its employees to keep everyone healthy and safe following the COVID-19 pandemic.</w:t>
                            </w:r>
                          </w:p>
                          <w:p w:rsidR="00CE5851" w:rsidRPr="00CE5851" w:rsidP="00CE5851" w14:textId="77777777">
                            <w:pPr>
                              <w:pStyle w:val="BasicCopy"/>
                            </w:pPr>
                            <w:r w:rsidRPr="00CE5851">
                              <w:t xml:space="preserve">A return to work plan is typically created to help reintegrate workers who have been injured or have been on leave. The plan includes details on how the worker will gradually return to work and any job-related specifics. Its </w:t>
                            </w:r>
                          </w:p>
                        </w:txbxContent>
                      </wps:txbx>
                      <wps:bodyPr rot="0" vert="horz" wrap="square" lIns="0" tIns="45720" rIns="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8.15pt;height:463.6pt;margin-top:0;margin-left:280.75pt;mso-height-percent:0;mso-height-relative:margin;mso-width-percent:0;mso-width-relative:margin;mso-wrap-distance-bottom:3.6pt;mso-wrap-distance-left:9pt;mso-wrap-distance-right:9pt;mso-wrap-distance-top:3.6pt;mso-wrap-style:square;position:absolute;visibility:visible;v-text-anchor:top;z-index:251668480" filled="f" stroked="f">
                <v:textbox inset="0,,0">
                  <w:txbxContent>
                    <w:p w:rsidR="001C2AEA" w:rsidP="00FE21E7" w14:paraId="1F412623" w14:textId="77777777">
                      <w:pPr>
                        <w:pStyle w:val="BasicCopy"/>
                        <w:rPr>
                          <w:rFonts w:asciiTheme="minorHAnsi" w:hAnsiTheme="minorHAnsi" w:cstheme="minorHAnsi"/>
                          <w:b/>
                          <w:noProof/>
                          <w:color w:val="000000"/>
                          <w:sz w:val="26"/>
                          <w:szCs w:val="26"/>
                        </w:rPr>
                      </w:pPr>
                      <w:r w:rsidRPr="001C2AEA">
                        <w:rPr>
                          <w:rFonts w:asciiTheme="minorHAnsi" w:hAnsiTheme="minorHAnsi" w:cstheme="minorHAnsi"/>
                          <w:b/>
                          <w:noProof/>
                          <w:color w:val="000000"/>
                          <w:sz w:val="26"/>
                          <w:szCs w:val="26"/>
                        </w:rPr>
                        <w:t xml:space="preserve">Return to Work Plans Following the COVID-19 Pandemic </w:t>
                      </w:r>
                    </w:p>
                    <w:p w:rsidR="00CE5851" w:rsidP="00CE5851" w14:paraId="2160E090" w14:textId="77777777">
                      <w:pPr>
                        <w:pStyle w:val="BasicCopy"/>
                      </w:pPr>
                      <w:r w:rsidRPr="00CE5851">
                        <w:t>The coronavirus (COVID-19) pandemic has interrupted many businesses across the country. While it’s unclear how long COVID-19 will continue to affect organizations, many employers are looking to the future of employees returning to work.</w:t>
                      </w:r>
                    </w:p>
                    <w:p w:rsidR="00CE5851" w:rsidP="00CE5851" w14:paraId="1C93B19B" w14:textId="77777777">
                      <w:pPr>
                        <w:pStyle w:val="BasicCopy"/>
                      </w:pPr>
                      <w:r w:rsidRPr="00CE5851">
                        <w:t xml:space="preserve">In preparation for reopening your business and asking employees to come back to work, it’s imperative that your company thoughtfully constructs a </w:t>
                      </w:r>
                      <w:r w:rsidRPr="00CE5851">
                        <w:rPr>
                          <w:b/>
                        </w:rPr>
                        <w:t>return to work plan</w:t>
                      </w:r>
                      <w:r w:rsidRPr="00CE5851">
                        <w:t xml:space="preserve"> for its employees to keep everyone healthy and safe following the COVID-19 pandemic.</w:t>
                      </w:r>
                    </w:p>
                    <w:p w:rsidR="00CE5851" w:rsidRPr="00CE5851" w:rsidP="00CE5851" w14:paraId="6911511C" w14:textId="77777777">
                      <w:pPr>
                        <w:pStyle w:val="BasicCopy"/>
                      </w:pPr>
                      <w:r w:rsidRPr="00CE5851">
                        <w:t xml:space="preserve">A return to work plan is typically created to help reintegrate workers who have been injured or have been on leave. The plan includes details on how the worker will gradually return to work and any job-related specifics. Its </w:t>
                      </w:r>
                    </w:p>
                  </w:txbxContent>
                </v:textbox>
                <w10:wrap type="square"/>
              </v:shape>
            </w:pict>
          </mc:Fallback>
        </mc:AlternateContent>
      </w:r>
      <w:r w:rsidR="00FE21E7">
        <mc:AlternateContent>
          <mc:Choice Requires="wps">
            <w:drawing>
              <wp:anchor distT="45720" distB="45720" distL="114300" distR="114300" simplePos="0" relativeHeight="251670528" behindDoc="0" locked="0" layoutInCell="1" allowOverlap="1">
                <wp:simplePos x="0" y="0"/>
                <wp:positionH relativeFrom="column">
                  <wp:posOffset>5343525</wp:posOffset>
                </wp:positionH>
                <wp:positionV relativeFrom="paragraph">
                  <wp:posOffset>0</wp:posOffset>
                </wp:positionV>
                <wp:extent cx="1764665" cy="5325110"/>
                <wp:effectExtent l="0" t="0" r="6985" b="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5325110"/>
                        </a:xfrm>
                        <a:prstGeom prst="rect">
                          <a:avLst/>
                        </a:prstGeom>
                        <a:noFill/>
                        <a:ln w="9525">
                          <a:noFill/>
                          <a:miter lim="800000"/>
                          <a:headEnd/>
                          <a:tailEnd/>
                        </a:ln>
                      </wps:spPr>
                      <wps:txbx>
                        <w:txbxContent>
                          <w:p w:rsidR="00CE5851" w:rsidRPr="00CE5851" w:rsidP="00CE5851" w14:textId="77777777">
                            <w:pPr>
                              <w:pStyle w:val="BasicCopy"/>
                            </w:pPr>
                            <w:r w:rsidRPr="00CE5851">
                              <w:t>purpose is to formalize steps for a safe and quick return to work.</w:t>
                            </w:r>
                          </w:p>
                          <w:p w:rsidR="00FE21E7" w:rsidP="00CE5851" w14:textId="77777777">
                            <w:pPr>
                              <w:pStyle w:val="BasicCopy"/>
                            </w:pPr>
                            <w:r w:rsidRPr="00CE5851">
                              <w:t>Your COVID-19 return to work plan should include the following</w:t>
                            </w:r>
                            <w:r>
                              <w:t xml:space="preserve"> aspects, among others:</w:t>
                            </w:r>
                          </w:p>
                          <w:p w:rsidR="00CE5851" w:rsidP="00CE5851" w14:textId="77777777">
                            <w:pPr>
                              <w:pStyle w:val="BulletList"/>
                            </w:pPr>
                            <w:r w:rsidRPr="00CE5851">
                              <w:t>Anticipated return to work date</w:t>
                            </w:r>
                          </w:p>
                          <w:p w:rsidR="00CE5851" w:rsidP="00CE5851" w14:textId="77777777">
                            <w:pPr>
                              <w:pStyle w:val="BulletList"/>
                            </w:pPr>
                            <w:r w:rsidRPr="00CE5851">
                              <w:t>Social distancing protocol</w:t>
                            </w:r>
                          </w:p>
                          <w:p w:rsidR="00CE5851" w:rsidP="00CE5851" w14:textId="77777777">
                            <w:pPr>
                              <w:pStyle w:val="BulletList"/>
                            </w:pPr>
                            <w:r w:rsidRPr="00CE5851">
                              <w:t>Employee screening procedures</w:t>
                            </w:r>
                          </w:p>
                          <w:p w:rsidR="00CE5851" w:rsidP="00CE5851" w14:textId="77777777">
                            <w:pPr>
                              <w:pStyle w:val="BulletList"/>
                            </w:pPr>
                            <w:r w:rsidRPr="00CE5851">
                              <w:t>Process for individualized requests</w:t>
                            </w:r>
                          </w:p>
                          <w:p w:rsidR="00FE21E7" w:rsidP="00CE5851" w14:textId="77777777">
                            <w:pPr>
                              <w:pStyle w:val="BasicCopy"/>
                            </w:pPr>
                            <w:r w:rsidRPr="00CE5851">
                              <w:t xml:space="preserve">The next phase of responding to the COVID-19 pandemic involves reopening your business. While this task may seem daunting, we’re here to help every step of the way. Contact </w:t>
                            </w:r>
                            <w:r>
                              <w:t>The Richards Group</w:t>
                            </w:r>
                            <w:r>
                              <w:t xml:space="preserve"> </w:t>
                            </w:r>
                            <w:r w:rsidRPr="00CE5851">
                              <w:t xml:space="preserve">today to </w:t>
                            </w:r>
                            <w:r w:rsidR="005F04CA">
                              <w:t>learn how you can make</w:t>
                            </w:r>
                            <w:r w:rsidRPr="00CE5851">
                              <w:t xml:space="preserve"> your employees’ return to work as seamless as possible.  </w:t>
                            </w:r>
                          </w:p>
                        </w:txbxContent>
                      </wps:txbx>
                      <wps:bodyPr rot="0" vert="horz" wrap="square" lIns="0" tIns="45720" rIns="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138.95pt;height:419.3pt;margin-top:0;margin-left:420.75pt;mso-height-percent:0;mso-height-relative:margin;mso-width-percent:0;mso-width-relative:margin;mso-wrap-distance-bottom:3.6pt;mso-wrap-distance-left:9pt;mso-wrap-distance-right:9pt;mso-wrap-distance-top:3.6pt;position:absolute;v-text-anchor:top;z-index:251669504" filled="f" fillcolor="this" stroked="f" strokeweight="0.75pt">
                <v:textbox inset="0,,0">
                  <w:txbxContent>
                    <w:p w:rsidR="00CE5851" w:rsidRPr="00CE5851" w:rsidP="00CE5851" w14:paraId="33B05D1C" w14:textId="77777777">
                      <w:pPr>
                        <w:pStyle w:val="BasicCopy"/>
                      </w:pPr>
                      <w:r w:rsidRPr="00CE5851">
                        <w:t>purpose is to formalize steps for a safe and quick return to work.</w:t>
                      </w:r>
                    </w:p>
                    <w:p w:rsidR="00FE21E7" w:rsidP="00CE5851" w14:paraId="0FF0C5F4" w14:textId="77777777">
                      <w:pPr>
                        <w:pStyle w:val="BasicCopy"/>
                      </w:pPr>
                      <w:r w:rsidRPr="00CE5851">
                        <w:t>Your COVID-19 return to work plan should include the following</w:t>
                      </w:r>
                      <w:r>
                        <w:t xml:space="preserve"> aspects, among others:</w:t>
                      </w:r>
                    </w:p>
                    <w:p w:rsidR="00CE5851" w:rsidP="00CE5851" w14:paraId="22E6DFC2" w14:textId="77777777">
                      <w:pPr>
                        <w:pStyle w:val="BulletList"/>
                      </w:pPr>
                      <w:r w:rsidRPr="00CE5851">
                        <w:t>Anticipated return to work date</w:t>
                      </w:r>
                    </w:p>
                    <w:p w:rsidR="00CE5851" w:rsidP="00CE5851" w14:paraId="0E22DF36" w14:textId="77777777">
                      <w:pPr>
                        <w:pStyle w:val="BulletList"/>
                      </w:pPr>
                      <w:r w:rsidRPr="00CE5851">
                        <w:t>Social distancing protocol</w:t>
                      </w:r>
                    </w:p>
                    <w:p w:rsidR="00CE5851" w:rsidP="00CE5851" w14:paraId="6AD9C3E7" w14:textId="77777777">
                      <w:pPr>
                        <w:pStyle w:val="BulletList"/>
                      </w:pPr>
                      <w:r w:rsidRPr="00CE5851">
                        <w:t>Employee screening procedures</w:t>
                      </w:r>
                    </w:p>
                    <w:p w:rsidR="00CE5851" w:rsidP="00CE5851" w14:paraId="3F3D51FB" w14:textId="77777777">
                      <w:pPr>
                        <w:pStyle w:val="BulletList"/>
                      </w:pPr>
                      <w:r w:rsidRPr="00CE5851">
                        <w:t>Process for individualized requests</w:t>
                      </w:r>
                    </w:p>
                    <w:p w:rsidR="00FE21E7" w:rsidP="00CE5851" w14:paraId="2E7ED4BD" w14:textId="77777777">
                      <w:pPr>
                        <w:pStyle w:val="BasicCopy"/>
                      </w:pPr>
                      <w:r w:rsidRPr="00CE5851">
                        <w:t xml:space="preserve">The next phase of responding to the COVID-19 pandemic involves reopening your business. While this task may seem daunting, we’re here to help every step of the way. Contact </w:t>
                      </w:r>
                      <w:r>
                        <w:t>The Richards Group</w:t>
                      </w:r>
                      <w:r>
                        <w:t xml:space="preserve"> </w:t>
                      </w:r>
                      <w:r w:rsidRPr="00CE5851">
                        <w:t xml:space="preserve">today to </w:t>
                      </w:r>
                      <w:r w:rsidR="005F04CA">
                        <w:t>learn how you can make</w:t>
                      </w:r>
                      <w:r w:rsidRPr="00CE5851">
                        <w:t xml:space="preserve"> your employees’ return to work as seamless as possible.  </w:t>
                      </w:r>
                    </w:p>
                  </w:txbxContent>
                </v:textbox>
                <w10:wrap type="square"/>
              </v:shape>
            </w:pict>
          </mc:Fallback>
        </mc:AlternateContent>
      </w:r>
      <w:r w:rsidR="008D4445">
        <mc:AlternateContent>
          <mc:Choice Requires="wps">
            <w:drawing>
              <wp:anchor distT="45720" distB="45720" distL="114300" distR="114300" simplePos="0" relativeHeight="251665408" behindDoc="0" locked="0" layoutInCell="1" allowOverlap="1">
                <wp:simplePos x="0" y="0"/>
                <wp:positionH relativeFrom="column">
                  <wp:posOffset>1612760</wp:posOffset>
                </wp:positionH>
                <wp:positionV relativeFrom="paragraph">
                  <wp:posOffset>440</wp:posOffset>
                </wp:positionV>
                <wp:extent cx="1764665" cy="5325626"/>
                <wp:effectExtent l="0" t="0" r="6985" b="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5325626"/>
                        </a:xfrm>
                        <a:prstGeom prst="rect">
                          <a:avLst/>
                        </a:prstGeom>
                        <a:noFill/>
                        <a:ln w="9525">
                          <a:noFill/>
                          <a:miter lim="800000"/>
                          <a:headEnd/>
                          <a:tailEnd/>
                        </a:ln>
                      </wps:spPr>
                      <wps:txbx>
                        <w:txbxContent>
                          <w:p w:rsidR="00FE21E7" w:rsidP="00551875" w14:textId="77777777">
                            <w:pPr>
                              <w:pStyle w:val="BasicCopy"/>
                            </w:pPr>
                            <w:r w:rsidRPr="008A0551">
                              <w:t>miss key deadlines during the COVID-19 outbreak that could result in the loss or lapse of group health coverage or the denial of a valid claim for benefits.</w:t>
                            </w:r>
                          </w:p>
                          <w:p w:rsidR="00551875" w:rsidRPr="00551875" w:rsidP="00551875" w14:textId="77777777">
                            <w:pPr>
                              <w:pStyle w:val="BasicCopy"/>
                              <w:spacing w:after="0"/>
                              <w:rPr>
                                <w:b/>
                              </w:rPr>
                            </w:pPr>
                            <w:r w:rsidRPr="00551875">
                              <w:rPr>
                                <w:b/>
                              </w:rPr>
                              <w:t>Deadline Extension for ERISA Notices and Disclosures</w:t>
                            </w:r>
                          </w:p>
                          <w:p w:rsidR="00551875" w:rsidP="00551875" w14:textId="77777777">
                            <w:pPr>
                              <w:pStyle w:val="BasicCopy"/>
                            </w:pPr>
                            <w:r>
                              <w:t xml:space="preserve">The DOL issued </w:t>
                            </w:r>
                            <w:r>
                              <w:fldChar w:fldCharType="begin"/>
                            </w:r>
                            <w:r>
                              <w:instrText xml:space="preserve"> HYPERLINK "https://www.dol.gov/agencies/ebsa/employers-and-advisers/plan-administration-and-compliance/disaster-relief/ebsa-disaster-relief-notice-2020-01" </w:instrText>
                            </w:r>
                            <w:r>
                              <w:fldChar w:fldCharType="separate"/>
                            </w:r>
                            <w:r w:rsidRPr="00551875">
                              <w:rPr>
                                <w:rStyle w:val="Hyperlink"/>
                              </w:rPr>
                              <w:t>Disaster Relief Notice 2020-01</w:t>
                            </w:r>
                            <w:r>
                              <w:fldChar w:fldCharType="end"/>
                            </w:r>
                            <w:r>
                              <w:t xml:space="preserve"> to extend the time for plan officials to furnish benefit statements, annual funding notices, and other notices and disclosures required under ERISA if they make a good faith effort to provide the documents as soon as </w:t>
                            </w:r>
                            <w:r w:rsidRPr="006F6348">
                              <w:rPr>
                                <w:b/>
                              </w:rPr>
                              <w:t>administratively practicable</w:t>
                            </w:r>
                            <w:r>
                              <w:t xml:space="preserve">. </w:t>
                            </w:r>
                          </w:p>
                          <w:p w:rsidR="00551875" w:rsidP="00551875" w14:textId="77777777">
                            <w:pPr>
                              <w:pStyle w:val="BasicCopy"/>
                            </w:pPr>
                            <w:r>
                              <w:t xml:space="preserve">The DOL also issued a set of </w:t>
                            </w:r>
                            <w:r>
                              <w:fldChar w:fldCharType="begin"/>
                            </w:r>
                            <w:r>
                              <w:instrText xml:space="preserve"> HYPERLINK "https://www.dol.gov/sites/dolgov/files/EBSA/about-ebsa/our-activities/resource-center/faqs/covid-19.pdf" </w:instrText>
                            </w:r>
                            <w:r>
                              <w:fldChar w:fldCharType="separate"/>
                            </w:r>
                            <w:r w:rsidRPr="00551875">
                              <w:rPr>
                                <w:rStyle w:val="Hyperlink"/>
                              </w:rPr>
                              <w:t>Frequently Asked Questions (FAQs)</w:t>
                            </w:r>
                            <w:r>
                              <w:fldChar w:fldCharType="end"/>
                            </w:r>
                            <w:r>
                              <w:t xml:space="preserve"> to help plan participants and employers impacted by the COVID-19 outbreak understand their rights and responsibilities under ERISA.</w:t>
                            </w:r>
                          </w:p>
                          <w:p w:rsidR="001667FA" w:rsidP="001667FA" w14:textId="77777777"/>
                        </w:txbxContent>
                      </wps:txbx>
                      <wps:bodyPr rot="0" vert="horz" wrap="square" lIns="0" tIns="45720" rIns="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38.95pt;height:419.35pt;margin-top:0.05pt;margin-left:127pt;mso-height-percent:0;mso-height-relative:margin;mso-width-percent:0;mso-width-relative:margin;mso-wrap-distance-bottom:3.6pt;mso-wrap-distance-left:9pt;mso-wrap-distance-right:9pt;mso-wrap-distance-top:3.6pt;mso-wrap-style:square;position:absolute;visibility:visible;v-text-anchor:top;z-index:251666432" filled="f" stroked="f">
                <v:textbox inset="0,,0">
                  <w:txbxContent>
                    <w:p w:rsidR="00FE21E7" w:rsidP="00551875" w14:paraId="642BA1E3" w14:textId="77777777">
                      <w:pPr>
                        <w:pStyle w:val="BasicCopy"/>
                      </w:pPr>
                      <w:r w:rsidRPr="008A0551">
                        <w:t>miss key deadlines during the COVID-19 outbreak that could result in the loss or lapse of group health coverage or the denial of a valid claim for benefits.</w:t>
                      </w:r>
                    </w:p>
                    <w:p w:rsidR="00551875" w:rsidRPr="00551875" w:rsidP="00551875" w14:paraId="78EE765A" w14:textId="77777777">
                      <w:pPr>
                        <w:pStyle w:val="BasicCopy"/>
                        <w:spacing w:after="0"/>
                        <w:rPr>
                          <w:b/>
                        </w:rPr>
                      </w:pPr>
                      <w:r w:rsidRPr="00551875">
                        <w:rPr>
                          <w:b/>
                        </w:rPr>
                        <w:t>Deadline Extension for ERISA Notices and Disclosures</w:t>
                      </w:r>
                    </w:p>
                    <w:p w:rsidR="00551875" w:rsidP="00551875" w14:paraId="6F3F4252" w14:textId="77777777">
                      <w:pPr>
                        <w:pStyle w:val="BasicCopy"/>
                      </w:pPr>
                      <w:r>
                        <w:t xml:space="preserve">The DOL issued </w:t>
                      </w:r>
                      <w:r>
                        <w:fldChar w:fldCharType="begin"/>
                      </w:r>
                      <w:r>
                        <w:instrText xml:space="preserve"> HYPERLINK "https://www.dol.gov/agencies/ebsa/employers-and-advisers/plan-administration-and-compliance/disaster-relief/ebsa-disaster-relief-notice-2020-01" </w:instrText>
                      </w:r>
                      <w:r>
                        <w:fldChar w:fldCharType="separate"/>
                      </w:r>
                      <w:r w:rsidRPr="00551875">
                        <w:rPr>
                          <w:rStyle w:val="Hyperlink"/>
                        </w:rPr>
                        <w:t>Disaster Relief Notice 2020-01</w:t>
                      </w:r>
                      <w:r>
                        <w:fldChar w:fldCharType="end"/>
                      </w:r>
                      <w:r>
                        <w:t xml:space="preserve"> to extend the time for plan officials to furnish benefit statements, annual funding notices, and other notices and disclosures required under ERISA if they make a good faith effort to provide the documents as soon as </w:t>
                      </w:r>
                      <w:r w:rsidRPr="006F6348">
                        <w:rPr>
                          <w:b/>
                        </w:rPr>
                        <w:t>administratively practicable</w:t>
                      </w:r>
                      <w:r>
                        <w:t xml:space="preserve">. </w:t>
                      </w:r>
                    </w:p>
                    <w:p w:rsidR="00551875" w:rsidP="00551875" w14:paraId="68E025B8" w14:textId="77777777">
                      <w:pPr>
                        <w:pStyle w:val="BasicCopy"/>
                      </w:pPr>
                      <w:r>
                        <w:t xml:space="preserve">The DOL also issued a set of </w:t>
                      </w:r>
                      <w:r>
                        <w:fldChar w:fldCharType="begin"/>
                      </w:r>
                      <w:r>
                        <w:instrText xml:space="preserve"> HYPERLINK "https://www.dol.gov/sites/dolgov/files/EBSA/about-ebsa/our-activities/resource-center/faqs/covid-19.pdf" </w:instrText>
                      </w:r>
                      <w:r>
                        <w:fldChar w:fldCharType="separate"/>
                      </w:r>
                      <w:r w:rsidRPr="00551875">
                        <w:rPr>
                          <w:rStyle w:val="Hyperlink"/>
                        </w:rPr>
                        <w:t>Frequently Asked Questions (FAQs)</w:t>
                      </w:r>
                      <w:r>
                        <w:fldChar w:fldCharType="end"/>
                      </w:r>
                      <w:r>
                        <w:t xml:space="preserve"> to help plan participants and employers impacted by the COVID-19 outbreak understand their rights and responsibilities under ERISA.</w:t>
                      </w:r>
                    </w:p>
                    <w:p w:rsidR="001667FA" w:rsidP="001667FA" w14:paraId="7A13ED44" w14:textId="77777777"/>
                  </w:txbxContent>
                </v:textbox>
                <w10:wrap type="square"/>
              </v:shape>
            </w:pict>
          </mc:Fallback>
        </mc:AlternateContent>
      </w:r>
      <w:r w:rsidRPr="00130CBD" w:rsidR="003F1B86">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1615440</wp:posOffset>
                </wp:positionV>
                <wp:extent cx="7576185" cy="307975"/>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7576185" cy="307975"/>
                        </a:xfrm>
                        <a:prstGeom prst="rect">
                          <a:avLst/>
                        </a:prstGeom>
                        <a:noFill/>
                        <a:ln w="6350">
                          <a:noFill/>
                        </a:ln>
                      </wps:spPr>
                      <wps:txbx>
                        <w:txbxContent>
                          <w:p w:rsidR="00C0624F" w:rsidRPr="00AD3A69" w:rsidP="008D08A1" w14:textId="77777777">
                            <w:pPr>
                              <w:pStyle w:val="HeaderInfo"/>
                            </w:pPr>
                            <w:r w:rsidRPr="00AD3A69">
                              <w:t>Provided by</w:t>
                            </w:r>
                            <w:r>
                              <w:t xml:space="preserve"> </w:t>
                            </w:r>
                            <w:r w:rsidRPr="008D08A1">
                              <w:rPr>
                                <w:b/>
                              </w:rPr>
                              <w:t>The Richards Group</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width:596.55pt;height:24.25pt;margin-top:127.2pt;margin-left:0;mso-height-percent:0;mso-height-relative:margin;mso-position-horizontal:center;mso-position-horizontal-relative:margin;mso-position-vertical-relative:page;mso-width-percent:0;mso-width-relative:margin;mso-wrap-distance-bottom:0;mso-wrap-distance-left:9pt;mso-wrap-distance-right:9pt;mso-wrap-distance-top:0;position:absolute;v-text-anchor:top;z-index:251661312" filled="f" fillcolor="this" stroked="f" strokeweight="0.5pt">
                <v:textbox>
                  <w:txbxContent>
                    <w:p w:rsidR="00C0624F" w:rsidRPr="00AD3A69" w:rsidP="008D08A1" w14:paraId="43DED7AF" w14:textId="77777777">
                      <w:pPr>
                        <w:pStyle w:val="HeaderInfo"/>
                      </w:pPr>
                      <w:r w:rsidRPr="00AD3A69">
                        <w:t>Provided by</w:t>
                      </w:r>
                      <w:r>
                        <w:t xml:space="preserve"> </w:t>
                      </w:r>
                      <w:r w:rsidRPr="008D08A1">
                        <w:rPr>
                          <w:b/>
                        </w:rPr>
                        <w:t>The Richards Group</w:t>
                      </w:r>
                    </w:p>
                  </w:txbxContent>
                </v:textbox>
                <w10:wrap anchorx="margin"/>
              </v:shape>
            </w:pict>
          </mc:Fallback>
        </mc:AlternateContent>
      </w:r>
      <w:r w:rsidRPr="00130CBD" w:rsidR="00CA41E9">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307975</wp:posOffset>
                </wp:positionV>
                <wp:extent cx="3311525" cy="33147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311525" cy="331470"/>
                        </a:xfrm>
                        <a:prstGeom prst="rect">
                          <a:avLst/>
                        </a:prstGeom>
                        <a:noFill/>
                        <a:ln w="6350">
                          <a:noFill/>
                        </a:ln>
                      </wps:spPr>
                      <wps:txbx>
                        <w:txbxContent>
                          <w:p w:rsidR="00C0624F" w:rsidRPr="00AD3A69" w:rsidP="008D08A1" w14:textId="7EBDEDA2">
                            <w:pPr>
                              <w:pStyle w:val="HeaderInfo"/>
                            </w:pPr>
                            <w:r>
                              <w:rPr>
                                <w:b/>
                              </w:rPr>
                              <w:t>June</w:t>
                            </w:r>
                            <w:r w:rsidRPr="00AD3A69">
                              <w:t xml:space="preserve"> </w:t>
                            </w:r>
                            <w:r w:rsidRPr="00766ECB">
                              <w:t>20</w:t>
                            </w:r>
                            <w:r w:rsidR="00FC2C40">
                              <w:t>2</w:t>
                            </w:r>
                            <w:r w:rsidR="00196772">
                              <w:t>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width:260.75pt;height:26.1pt;margin-top:24.25pt;margin-left:0;mso-height-percent:0;mso-height-relative:margin;mso-position-horizontal:center;mso-position-horizontal-relative:margin;mso-position-vertical-relative:page;mso-width-percent:0;mso-width-relative:margin;mso-wrap-distance-bottom:0;mso-wrap-distance-left:9pt;mso-wrap-distance-right:9pt;mso-wrap-distance-top:0;mso-wrap-style:square;position:absolute;visibility:visible;v-text-anchor:top;z-index:251660288" filled="f" stroked="f" strokeweight="0.5pt">
                <v:textbox>
                  <w:txbxContent>
                    <w:p w:rsidR="00C0624F" w:rsidRPr="00AD3A69" w:rsidP="008D08A1" w14:paraId="7D598419" w14:textId="7EBDEDA2">
                      <w:pPr>
                        <w:pStyle w:val="HeaderInfo"/>
                      </w:pPr>
                      <w:r>
                        <w:rPr>
                          <w:b/>
                        </w:rPr>
                        <w:t>June</w:t>
                      </w:r>
                      <w:r w:rsidRPr="00AD3A69">
                        <w:t xml:space="preserve"> </w:t>
                      </w:r>
                      <w:r w:rsidRPr="00766ECB">
                        <w:t>20</w:t>
                      </w:r>
                      <w:r w:rsidR="00FC2C40">
                        <w:t>2</w:t>
                      </w:r>
                      <w:r w:rsidR="00196772">
                        <w:t>0</w:t>
                      </w:r>
                    </w:p>
                  </w:txbxContent>
                </v:textbox>
                <w10:wrap anchorx="margin"/>
              </v:shape>
            </w:pict>
          </mc:Fallback>
        </mc:AlternateContent>
      </w:r>
    </w:p>
    <w:sectPr w:rsidSect="00B95FD3">
      <w:headerReference w:type="default" r:id="rId6"/>
      <w:footerReference w:type="default" r:id="rId7"/>
      <w:type w:val="continuous"/>
      <w:pgSz w:w="12240" w:h="15840"/>
      <w:pgMar w:top="5400" w:right="720" w:bottom="2592" w:left="720" w:header="720" w:footer="720" w:gutter="0"/>
      <w:cols w:num="4" w:space="38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637" w14:paraId="36FC86D6" w14:textId="77777777">
    <w:pPr>
      <w:pStyle w:val="Footer"/>
    </w:pPr>
    <w:r w:rsidRPr="008D08A1">
      <w:rPr>
        <w:noProof/>
      </w:rPr>
      <mc:AlternateContent>
        <mc:Choice Requires="wps">
          <w:drawing>
            <wp:anchor distT="0" distB="0" distL="114300" distR="114300" simplePos="0" relativeHeight="251661312" behindDoc="1" locked="0" layoutInCell="1" allowOverlap="1">
              <wp:simplePos x="0" y="0"/>
              <wp:positionH relativeFrom="column">
                <wp:posOffset>-251209</wp:posOffset>
              </wp:positionH>
              <wp:positionV relativeFrom="page">
                <wp:posOffset>9550958</wp:posOffset>
              </wp:positionV>
              <wp:extent cx="2071370" cy="21018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71370" cy="210185"/>
                      </a:xfrm>
                      <a:prstGeom prst="rect">
                        <a:avLst/>
                      </a:prstGeom>
                      <a:noFill/>
                      <a:ln w="6350">
                        <a:noFill/>
                      </a:ln>
                    </wps:spPr>
                    <wps:txbx>
                      <w:txbxContent>
                        <w:p w:rsidR="00232637" w:rsidRPr="00044F2B" w:rsidP="00232637" w14:textId="77777777">
                          <w:pPr>
                            <w:rPr>
                              <w:rFonts w:ascii="Arial" w:hAnsi="Arial" w:cs="Arial"/>
                              <w:color w:val="808080" w:themeColor="background1" w:themeShade="80"/>
                              <w:sz w:val="16"/>
                              <w:szCs w:val="16"/>
                            </w:rPr>
                          </w:pPr>
                          <w:r w:rsidRPr="00044F2B">
                            <w:rPr>
                              <w:rFonts w:ascii="Arial" w:hAnsi="Arial" w:cs="Arial"/>
                              <w:color w:val="808080" w:themeColor="background1" w:themeShade="80"/>
                              <w:sz w:val="16"/>
                              <w:szCs w:val="16"/>
                            </w:rPr>
                            <w:t>© 20</w:t>
                          </w:r>
                          <w:r>
                            <w:rPr>
                              <w:rFonts w:ascii="Arial" w:hAnsi="Arial" w:cs="Arial"/>
                              <w:color w:val="808080" w:themeColor="background1" w:themeShade="80"/>
                              <w:sz w:val="16"/>
                              <w:szCs w:val="16"/>
                            </w:rPr>
                            <w:t>20</w:t>
                          </w:r>
                          <w:r w:rsidRPr="00044F2B">
                            <w:rPr>
                              <w:rFonts w:ascii="Arial" w:hAnsi="Arial" w:cs="Arial"/>
                              <w:color w:val="808080" w:themeColor="background1" w:themeShade="80"/>
                              <w:sz w:val="16"/>
                              <w:szCs w:val="16"/>
                            </w:rPr>
                            <w:t xml:space="preserve"> Zywave, Inc. All rights reserved</w:t>
                          </w:r>
                          <w:r w:rsidR="005B7921">
                            <w:rPr>
                              <w:rFonts w:ascii="Arial" w:hAnsi="Arial" w:cs="Arial"/>
                              <w:color w:val="808080" w:themeColor="background1" w:themeShade="80"/>
                              <w:sz w:val="16"/>
                              <w:szCs w:val="16"/>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163.1pt;height:16.55pt;margin-top:752.05pt;margin-left:-19.8pt;mso-height-percent:0;mso-height-relative:margin;mso-position-vertical-relative:page;mso-width-percent:0;mso-width-relative:margin;mso-wrap-distance-bottom:0;mso-wrap-distance-left:9pt;mso-wrap-distance-right:9pt;mso-wrap-distance-top:0;mso-wrap-style:square;position:absolute;visibility:visible;v-text-anchor:top;z-index:-251654144" filled="f" stroked="f" strokeweight="0.5pt">
              <v:textbox>
                <w:txbxContent>
                  <w:p w:rsidR="00232637" w:rsidRPr="00044F2B" w:rsidP="00232637" w14:paraId="6B0363A7" w14:textId="77777777">
                    <w:pPr>
                      <w:rPr>
                        <w:rFonts w:ascii="Arial" w:hAnsi="Arial" w:cs="Arial"/>
                        <w:color w:val="808080" w:themeColor="background1" w:themeShade="80"/>
                        <w:sz w:val="16"/>
                        <w:szCs w:val="16"/>
                      </w:rPr>
                    </w:pPr>
                    <w:r w:rsidRPr="00044F2B">
                      <w:rPr>
                        <w:rFonts w:ascii="Arial" w:hAnsi="Arial" w:cs="Arial"/>
                        <w:color w:val="808080" w:themeColor="background1" w:themeShade="80"/>
                        <w:sz w:val="16"/>
                        <w:szCs w:val="16"/>
                      </w:rPr>
                      <w:t>© 20</w:t>
                    </w:r>
                    <w:r>
                      <w:rPr>
                        <w:rFonts w:ascii="Arial" w:hAnsi="Arial" w:cs="Arial"/>
                        <w:color w:val="808080" w:themeColor="background1" w:themeShade="80"/>
                        <w:sz w:val="16"/>
                        <w:szCs w:val="16"/>
                      </w:rPr>
                      <w:t>20</w:t>
                    </w:r>
                    <w:r w:rsidRPr="00044F2B">
                      <w:rPr>
                        <w:rFonts w:ascii="Arial" w:hAnsi="Arial" w:cs="Arial"/>
                        <w:color w:val="808080" w:themeColor="background1" w:themeShade="80"/>
                        <w:sz w:val="16"/>
                        <w:szCs w:val="16"/>
                      </w:rPr>
                      <w:t xml:space="preserve"> Zywave, Inc. All rights reserved</w:t>
                    </w:r>
                    <w:r w:rsidR="005B7921">
                      <w:rPr>
                        <w:rFonts w:ascii="Arial" w:hAnsi="Arial" w:cs="Arial"/>
                        <w:color w:val="808080" w:themeColor="background1" w:themeShade="80"/>
                        <w:sz w:val="16"/>
                        <w:szCs w:val="16"/>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4F2B" w14:paraId="79252F0A" w14:textId="31B6FCFB">
    <w:pPr>
      <w:pStyle w:val="Header"/>
    </w:pPr>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CC61F8">
      <w:rPr>
        <w:noProof/>
      </w:rPr>
      <mc:AlternateContent>
        <mc:Choice Requires="wps">
          <w:drawing>
            <wp:anchor distT="0" distB="0" distL="114300" distR="114300" simplePos="0" relativeHeight="251659264" behindDoc="0" locked="0" layoutInCell="1" allowOverlap="1">
              <wp:simplePos x="0" y="0"/>
              <wp:positionH relativeFrom="column">
                <wp:posOffset>3415294</wp:posOffset>
              </wp:positionH>
              <wp:positionV relativeFrom="paragraph">
                <wp:posOffset>2984500</wp:posOffset>
              </wp:positionV>
              <wp:extent cx="0" cy="4977441"/>
              <wp:effectExtent l="19050" t="0" r="19050" b="3302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0" cy="4977441"/>
                      </a:xfrm>
                      <a:prstGeom prst="line">
                        <a:avLst/>
                      </a:prstGeom>
                      <a:ln w="317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60288" from="268.9pt,235pt" to="268.9pt,626.9pt" strokecolor="#a5a5a5"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45794"/>
    <w:multiLevelType w:val="hybridMultilevel"/>
    <w:tmpl w:val="431E6B16"/>
    <w:lvl w:ilvl="0">
      <w:start w:val="1"/>
      <w:numFmt w:val="decimal"/>
      <w:pStyle w:val="NumberedList"/>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5D165A"/>
    <w:multiLevelType w:val="hybridMultilevel"/>
    <w:tmpl w:val="8EE20A00"/>
    <w:lvl w:ilvl="0">
      <w:start w:val="1"/>
      <w:numFmt w:val="bullet"/>
      <w:pStyle w:val="Bulleted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13B46A2"/>
    <w:multiLevelType w:val="hybridMultilevel"/>
    <w:tmpl w:val="427E3B28"/>
    <w:lvl w:ilvl="0">
      <w:start w:val="1"/>
      <w:numFmt w:val="bullet"/>
      <w:pStyle w:val="BulletList"/>
      <w:lvlText w:val=""/>
      <w:lvlJc w:val="left"/>
      <w:pPr>
        <w:ind w:left="720" w:hanging="360"/>
      </w:pPr>
      <w:rPr>
        <w:rFonts w:ascii="Symbol" w:hAnsi="Symbol" w:hint="default"/>
      </w:rPr>
    </w:lvl>
    <w:lvl w:ilvl="1">
      <w:start w:val="1"/>
      <w:numFmt w:val="bullet"/>
      <w:pStyle w:val="Sub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72"/>
    <w:rsid w:val="00044F2B"/>
    <w:rsid w:val="00067A88"/>
    <w:rsid w:val="000A0AE3"/>
    <w:rsid w:val="000C1AFF"/>
    <w:rsid w:val="000D66B6"/>
    <w:rsid w:val="00110C2E"/>
    <w:rsid w:val="00115C7B"/>
    <w:rsid w:val="00122A28"/>
    <w:rsid w:val="00130CBD"/>
    <w:rsid w:val="00132D87"/>
    <w:rsid w:val="001667FA"/>
    <w:rsid w:val="00172EF4"/>
    <w:rsid w:val="0018711F"/>
    <w:rsid w:val="00196772"/>
    <w:rsid w:val="001A15B9"/>
    <w:rsid w:val="001C2AEA"/>
    <w:rsid w:val="00232637"/>
    <w:rsid w:val="0026396D"/>
    <w:rsid w:val="00265557"/>
    <w:rsid w:val="0027096B"/>
    <w:rsid w:val="002A33D2"/>
    <w:rsid w:val="002B775D"/>
    <w:rsid w:val="002D14A1"/>
    <w:rsid w:val="003661E9"/>
    <w:rsid w:val="0036670C"/>
    <w:rsid w:val="003C2E3B"/>
    <w:rsid w:val="003F1B86"/>
    <w:rsid w:val="00410130"/>
    <w:rsid w:val="00443A42"/>
    <w:rsid w:val="004452BF"/>
    <w:rsid w:val="00447048"/>
    <w:rsid w:val="00465D37"/>
    <w:rsid w:val="00551875"/>
    <w:rsid w:val="0056488B"/>
    <w:rsid w:val="005A0045"/>
    <w:rsid w:val="005B7921"/>
    <w:rsid w:val="005F04CA"/>
    <w:rsid w:val="005F4087"/>
    <w:rsid w:val="006E5A67"/>
    <w:rsid w:val="006E6936"/>
    <w:rsid w:val="006F6348"/>
    <w:rsid w:val="006F735C"/>
    <w:rsid w:val="007033A5"/>
    <w:rsid w:val="00766ECB"/>
    <w:rsid w:val="007C6965"/>
    <w:rsid w:val="007D4EC1"/>
    <w:rsid w:val="008A0551"/>
    <w:rsid w:val="008B6A20"/>
    <w:rsid w:val="008D08A1"/>
    <w:rsid w:val="008D4445"/>
    <w:rsid w:val="00922C4A"/>
    <w:rsid w:val="009264F9"/>
    <w:rsid w:val="00946D57"/>
    <w:rsid w:val="00952044"/>
    <w:rsid w:val="0096300C"/>
    <w:rsid w:val="009F74F9"/>
    <w:rsid w:val="00AB3C5E"/>
    <w:rsid w:val="00AB5637"/>
    <w:rsid w:val="00AD3A69"/>
    <w:rsid w:val="00B068D1"/>
    <w:rsid w:val="00B47124"/>
    <w:rsid w:val="00B56BD7"/>
    <w:rsid w:val="00B95FD3"/>
    <w:rsid w:val="00BD7582"/>
    <w:rsid w:val="00C0624F"/>
    <w:rsid w:val="00CA41E9"/>
    <w:rsid w:val="00CA537C"/>
    <w:rsid w:val="00CC61F8"/>
    <w:rsid w:val="00CE0F47"/>
    <w:rsid w:val="00CE2733"/>
    <w:rsid w:val="00CE5851"/>
    <w:rsid w:val="00CE778C"/>
    <w:rsid w:val="00D005C0"/>
    <w:rsid w:val="00DA2545"/>
    <w:rsid w:val="00DB0416"/>
    <w:rsid w:val="00E36849"/>
    <w:rsid w:val="00E56B13"/>
    <w:rsid w:val="00E94A10"/>
    <w:rsid w:val="00EB19D6"/>
    <w:rsid w:val="00ED1F9B"/>
    <w:rsid w:val="00EE0F5A"/>
    <w:rsid w:val="00EF342A"/>
    <w:rsid w:val="00F32E0F"/>
    <w:rsid w:val="00F97F09"/>
    <w:rsid w:val="00FC2C40"/>
    <w:rsid w:val="00FE21E7"/>
  </w:rsids>
  <w:docVars>
    <w:docVar w:name="__Grammarly_42___1" w:val="H4sIAAAAAAAEAKtWcslP9kxRslIyNDYyNjYysTA3sjA0NrC0NDNR0lEKTi0uzszPAykwqgUAUiuV1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3977248-BF52-4B1B-BA26-E01AC941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6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2B"/>
  </w:style>
  <w:style w:type="paragraph" w:styleId="Footer">
    <w:name w:val="footer"/>
    <w:basedOn w:val="Normal"/>
    <w:link w:val="FooterChar"/>
    <w:uiPriority w:val="99"/>
    <w:unhideWhenUsed/>
    <w:rsid w:val="00044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2B"/>
  </w:style>
  <w:style w:type="paragraph" w:customStyle="1" w:styleId="BasicParagraph">
    <w:name w:val="[Basic Paragraph]"/>
    <w:basedOn w:val="Normal"/>
    <w:link w:val="BasicParagraphChar"/>
    <w:uiPriority w:val="99"/>
    <w:rsid w:val="00044F2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ArticleHeader">
    <w:name w:val="Article Header"/>
    <w:basedOn w:val="BasicParagraph"/>
    <w:link w:val="ArticleHeaderChar"/>
    <w:rsid w:val="00E36849"/>
    <w:pPr>
      <w:spacing w:after="80" w:line="192" w:lineRule="auto"/>
    </w:pPr>
    <w:rPr>
      <w:rFonts w:ascii="Arial Black" w:hAnsi="Arial Black" w:cs="Arial Black"/>
    </w:rPr>
  </w:style>
  <w:style w:type="paragraph" w:customStyle="1" w:styleId="BulletedList">
    <w:name w:val="Bulleted List"/>
    <w:basedOn w:val="Normal"/>
    <w:link w:val="BulletedListChar"/>
    <w:rsid w:val="0018711F"/>
    <w:pPr>
      <w:numPr>
        <w:numId w:val="1"/>
      </w:numPr>
      <w:spacing w:after="0" w:line="240" w:lineRule="auto"/>
      <w:ind w:left="270" w:hanging="180"/>
    </w:pPr>
    <w:rPr>
      <w:rFonts w:ascii="Arial" w:hAnsi="Arial" w:cs="Arial"/>
      <w:sz w:val="20"/>
      <w:szCs w:val="20"/>
    </w:rPr>
  </w:style>
  <w:style w:type="character" w:customStyle="1" w:styleId="BasicParagraphChar">
    <w:name w:val="[Basic Paragraph] Char"/>
    <w:basedOn w:val="DefaultParagraphFont"/>
    <w:link w:val="BasicParagraph"/>
    <w:uiPriority w:val="99"/>
    <w:rsid w:val="0018711F"/>
    <w:rPr>
      <w:rFonts w:ascii="MinionPro-Regular" w:hAnsi="MinionPro-Regular" w:cs="MinionPro-Regular"/>
      <w:color w:val="000000"/>
      <w:sz w:val="24"/>
      <w:szCs w:val="24"/>
    </w:rPr>
  </w:style>
  <w:style w:type="character" w:customStyle="1" w:styleId="ArticleHeaderChar">
    <w:name w:val="Article Header Char"/>
    <w:basedOn w:val="BasicParagraphChar"/>
    <w:link w:val="ArticleHeader"/>
    <w:rsid w:val="00E36849"/>
    <w:rPr>
      <w:rFonts w:ascii="Arial Black" w:hAnsi="Arial Black" w:cs="Arial Black"/>
      <w:color w:val="000000"/>
      <w:sz w:val="24"/>
      <w:szCs w:val="24"/>
    </w:rPr>
  </w:style>
  <w:style w:type="paragraph" w:customStyle="1" w:styleId="NumberedList">
    <w:name w:val="Numbered List"/>
    <w:basedOn w:val="BulletedList"/>
    <w:link w:val="NumberedListChar"/>
    <w:rsid w:val="0018711F"/>
    <w:pPr>
      <w:numPr>
        <w:numId w:val="2"/>
      </w:numPr>
    </w:pPr>
  </w:style>
  <w:style w:type="character" w:customStyle="1" w:styleId="BulletedListChar">
    <w:name w:val="Bulleted List Char"/>
    <w:basedOn w:val="DefaultParagraphFont"/>
    <w:link w:val="BulletedList"/>
    <w:rsid w:val="0018711F"/>
    <w:rPr>
      <w:rFonts w:ascii="Arial" w:hAnsi="Arial" w:cs="Arial"/>
      <w:sz w:val="20"/>
      <w:szCs w:val="20"/>
    </w:rPr>
  </w:style>
  <w:style w:type="character" w:customStyle="1" w:styleId="NumberedListChar">
    <w:name w:val="Numbered List Char"/>
    <w:basedOn w:val="BulletedListChar"/>
    <w:link w:val="NumberedList"/>
    <w:rsid w:val="0018711F"/>
    <w:rPr>
      <w:rFonts w:ascii="Arial" w:hAnsi="Arial" w:cs="Arial"/>
      <w:sz w:val="20"/>
      <w:szCs w:val="20"/>
    </w:rPr>
  </w:style>
  <w:style w:type="paragraph" w:customStyle="1" w:styleId="HeaderInformation">
    <w:name w:val="Header Information"/>
    <w:basedOn w:val="Normal"/>
    <w:link w:val="HeaderInformationChar"/>
    <w:rsid w:val="00AD3A69"/>
    <w:pPr>
      <w:jc w:val="center"/>
    </w:pPr>
    <w:rPr>
      <w:rFonts w:ascii="Arial" w:hAnsi="Arial" w:cs="Arial"/>
      <w:b/>
      <w:color w:val="FFFFFF" w:themeColor="background1"/>
      <w:sz w:val="28"/>
      <w:szCs w:val="28"/>
    </w:rPr>
  </w:style>
  <w:style w:type="paragraph" w:customStyle="1" w:styleId="BodyText1">
    <w:name w:val="Body Text1"/>
    <w:basedOn w:val="Normal"/>
    <w:link w:val="bodytextChar"/>
    <w:rsid w:val="00110C2E"/>
    <w:pPr>
      <w:spacing w:after="120" w:line="240" w:lineRule="auto"/>
    </w:pPr>
    <w:rPr>
      <w:rFonts w:ascii="Arial" w:hAnsi="Arial" w:cs="Arial"/>
      <w:sz w:val="20"/>
      <w:szCs w:val="20"/>
    </w:rPr>
  </w:style>
  <w:style w:type="character" w:customStyle="1" w:styleId="HeaderInformationChar">
    <w:name w:val="Header Information Char"/>
    <w:basedOn w:val="DefaultParagraphFont"/>
    <w:link w:val="HeaderInformation"/>
    <w:rsid w:val="00AD3A69"/>
    <w:rPr>
      <w:rFonts w:ascii="Arial" w:hAnsi="Arial" w:cs="Arial"/>
      <w:b/>
      <w:color w:val="FFFFFF" w:themeColor="background1"/>
      <w:sz w:val="28"/>
      <w:szCs w:val="28"/>
    </w:rPr>
  </w:style>
  <w:style w:type="character" w:customStyle="1" w:styleId="bodytextChar">
    <w:name w:val="body text Char"/>
    <w:basedOn w:val="DefaultParagraphFont"/>
    <w:link w:val="BodyText1"/>
    <w:rsid w:val="00110C2E"/>
    <w:rPr>
      <w:rFonts w:ascii="Arial" w:hAnsi="Arial" w:cs="Arial"/>
      <w:sz w:val="20"/>
      <w:szCs w:val="20"/>
    </w:rPr>
  </w:style>
  <w:style w:type="character" w:styleId="Hyperlink">
    <w:name w:val="Hyperlink"/>
    <w:basedOn w:val="DefaultParagraphFont"/>
    <w:uiPriority w:val="99"/>
    <w:unhideWhenUsed/>
    <w:rsid w:val="00110C2E"/>
    <w:rPr>
      <w:color w:val="0563C1" w:themeColor="hyperlink"/>
      <w:u w:val="single"/>
    </w:rPr>
  </w:style>
  <w:style w:type="paragraph" w:customStyle="1" w:styleId="HeaderInfo">
    <w:name w:val="Header Info"/>
    <w:basedOn w:val="HeaderInformation"/>
    <w:link w:val="HeaderInfoChar"/>
    <w:qFormat/>
    <w:rsid w:val="008D08A1"/>
    <w:rPr>
      <w:b w:val="0"/>
    </w:rPr>
  </w:style>
  <w:style w:type="paragraph" w:customStyle="1" w:styleId="Article1">
    <w:name w:val="Article 1"/>
    <w:link w:val="Article1Char"/>
    <w:qFormat/>
    <w:rsid w:val="00130CBD"/>
    <w:pPr>
      <w:spacing w:after="120"/>
    </w:pPr>
    <w:rPr>
      <w:rFonts w:cstheme="minorHAnsi"/>
      <w:b/>
      <w:noProof/>
      <w:color w:val="000000"/>
      <w:sz w:val="26"/>
      <w:szCs w:val="26"/>
    </w:rPr>
  </w:style>
  <w:style w:type="character" w:customStyle="1" w:styleId="HeaderInfoChar">
    <w:name w:val="Header Info Char"/>
    <w:basedOn w:val="HeaderInformationChar"/>
    <w:link w:val="HeaderInfo"/>
    <w:rsid w:val="008D08A1"/>
    <w:rPr>
      <w:rFonts w:ascii="Arial" w:hAnsi="Arial" w:cs="Arial"/>
      <w:b w:val="0"/>
      <w:color w:val="FFFFFF" w:themeColor="background1"/>
      <w:sz w:val="28"/>
      <w:szCs w:val="28"/>
    </w:rPr>
  </w:style>
  <w:style w:type="paragraph" w:customStyle="1" w:styleId="Article2">
    <w:name w:val="Article 2"/>
    <w:basedOn w:val="ArticleHeader"/>
    <w:link w:val="Article2Char"/>
    <w:rsid w:val="00CE778C"/>
    <w:pPr>
      <w:pBdr>
        <w:top w:val="single" w:sz="4" w:space="6" w:color="auto"/>
      </w:pBdr>
      <w:spacing w:before="320"/>
    </w:pPr>
    <w:rPr>
      <w:rFonts w:asciiTheme="minorHAnsi" w:hAnsiTheme="minorHAnsi" w:cstheme="minorHAnsi"/>
      <w:b/>
      <w:sz w:val="26"/>
      <w:szCs w:val="26"/>
    </w:rPr>
  </w:style>
  <w:style w:type="character" w:customStyle="1" w:styleId="Article1Char">
    <w:name w:val="Article 1 Char"/>
    <w:basedOn w:val="ArticleHeaderChar"/>
    <w:link w:val="Article1"/>
    <w:rsid w:val="00130CBD"/>
    <w:rPr>
      <w:rFonts w:ascii="Arial Black" w:hAnsi="Arial Black" w:cstheme="minorHAnsi"/>
      <w:b/>
      <w:noProof/>
      <w:color w:val="000000"/>
      <w:sz w:val="26"/>
      <w:szCs w:val="26"/>
    </w:rPr>
  </w:style>
  <w:style w:type="paragraph" w:customStyle="1" w:styleId="BasicCopy">
    <w:name w:val="Basic Copy"/>
    <w:basedOn w:val="Normal"/>
    <w:link w:val="BasicCopyChar"/>
    <w:qFormat/>
    <w:rsid w:val="002A33D2"/>
    <w:pPr>
      <w:spacing w:after="120" w:line="240" w:lineRule="auto"/>
    </w:pPr>
    <w:rPr>
      <w:rFonts w:asciiTheme="majorHAnsi" w:hAnsiTheme="majorHAnsi" w:cstheme="majorHAnsi"/>
      <w:sz w:val="21"/>
      <w:szCs w:val="20"/>
    </w:rPr>
  </w:style>
  <w:style w:type="character" w:customStyle="1" w:styleId="Article2Char">
    <w:name w:val="Article 2 Char"/>
    <w:basedOn w:val="ArticleHeaderChar"/>
    <w:link w:val="Article2"/>
    <w:rsid w:val="00CE778C"/>
    <w:rPr>
      <w:rFonts w:ascii="Arial Black" w:hAnsi="Arial Black" w:cstheme="minorHAnsi"/>
      <w:b/>
      <w:color w:val="000000"/>
      <w:sz w:val="26"/>
      <w:szCs w:val="26"/>
    </w:rPr>
  </w:style>
  <w:style w:type="character" w:customStyle="1" w:styleId="BasicCopyChar">
    <w:name w:val="Basic Copy Char"/>
    <w:basedOn w:val="DefaultParagraphFont"/>
    <w:link w:val="BasicCopy"/>
    <w:rsid w:val="002A33D2"/>
    <w:rPr>
      <w:rFonts w:asciiTheme="majorHAnsi" w:hAnsiTheme="majorHAnsi" w:cstheme="majorHAnsi"/>
      <w:sz w:val="21"/>
      <w:szCs w:val="20"/>
    </w:rPr>
  </w:style>
  <w:style w:type="paragraph" w:customStyle="1" w:styleId="BulletList">
    <w:name w:val="Bullet List"/>
    <w:basedOn w:val="BasicCopy"/>
    <w:link w:val="BulletListChar"/>
    <w:qFormat/>
    <w:rsid w:val="00952044"/>
    <w:pPr>
      <w:numPr>
        <w:numId w:val="3"/>
      </w:numPr>
      <w:ind w:left="360" w:hanging="180"/>
    </w:pPr>
  </w:style>
  <w:style w:type="paragraph" w:customStyle="1" w:styleId="SubBullet">
    <w:name w:val="Sub Bullet"/>
    <w:basedOn w:val="BulletList"/>
    <w:link w:val="SubBulletChar"/>
    <w:qFormat/>
    <w:rsid w:val="00952044"/>
    <w:pPr>
      <w:numPr>
        <w:ilvl w:val="1"/>
      </w:numPr>
      <w:ind w:left="630" w:hanging="180"/>
    </w:pPr>
  </w:style>
  <w:style w:type="character" w:customStyle="1" w:styleId="BulletListChar">
    <w:name w:val="Bullet List Char"/>
    <w:basedOn w:val="BasicCopyChar"/>
    <w:link w:val="BulletList"/>
    <w:rsid w:val="00952044"/>
    <w:rPr>
      <w:rFonts w:asciiTheme="majorHAnsi" w:hAnsiTheme="majorHAnsi" w:cstheme="majorHAnsi"/>
      <w:sz w:val="21"/>
      <w:szCs w:val="20"/>
    </w:rPr>
  </w:style>
  <w:style w:type="character" w:customStyle="1" w:styleId="SubBulletChar">
    <w:name w:val="Sub Bullet Char"/>
    <w:basedOn w:val="BulletListChar"/>
    <w:link w:val="SubBullet"/>
    <w:rsid w:val="00952044"/>
    <w:rPr>
      <w:rFonts w:asciiTheme="majorHAnsi" w:hAnsiTheme="majorHAnsi" w:cstheme="majorHAnsi"/>
      <w:sz w:val="21"/>
      <w:szCs w:val="20"/>
    </w:rPr>
  </w:style>
  <w:style w:type="paragraph" w:styleId="BalloonText">
    <w:name w:val="Balloon Text"/>
    <w:basedOn w:val="Normal"/>
    <w:link w:val="BalloonTextChar"/>
    <w:uiPriority w:val="99"/>
    <w:semiHidden/>
    <w:unhideWhenUsed/>
    <w:rsid w:val="00166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FA"/>
    <w:rPr>
      <w:rFonts w:ascii="Segoe UI" w:hAnsi="Segoe UI" w:cs="Segoe UI"/>
      <w:sz w:val="18"/>
      <w:szCs w:val="18"/>
    </w:rPr>
  </w:style>
  <w:style w:type="character" w:customStyle="1" w:styleId="UnresolvedMention">
    <w:name w:val="Unresolved Mention"/>
    <w:basedOn w:val="DefaultParagraphFont"/>
    <w:uiPriority w:val="99"/>
    <w:semiHidden/>
    <w:unhideWhenUsed/>
    <w:rsid w:val="00551875"/>
    <w:rPr>
      <w:color w:val="605E5C"/>
      <w:shd w:val="clear" w:color="auto" w:fill="E1DFDD"/>
    </w:rPr>
  </w:style>
  <w:style w:type="character" w:styleId="FollowedHyperlink">
    <w:name w:val="FollowedHyperlink"/>
    <w:basedOn w:val="DefaultParagraphFont"/>
    <w:uiPriority w:val="99"/>
    <w:semiHidden/>
    <w:unhideWhenUsed/>
    <w:rsid w:val="005B7921"/>
    <w:rPr>
      <w:color w:val="954F72" w:themeColor="followedHyperlink"/>
      <w:u w:val="single"/>
    </w:rPr>
  </w:style>
  <w:style w:type="character" w:styleId="CommentReference">
    <w:name w:val="annotation reference"/>
    <w:basedOn w:val="DefaultParagraphFont"/>
    <w:uiPriority w:val="99"/>
    <w:semiHidden/>
    <w:unhideWhenUsed/>
    <w:rsid w:val="005B7921"/>
    <w:rPr>
      <w:sz w:val="16"/>
      <w:szCs w:val="16"/>
    </w:rPr>
  </w:style>
  <w:style w:type="paragraph" w:styleId="CommentText">
    <w:name w:val="annotation text"/>
    <w:basedOn w:val="Normal"/>
    <w:link w:val="CommentTextChar"/>
    <w:uiPriority w:val="99"/>
    <w:semiHidden/>
    <w:unhideWhenUsed/>
    <w:rsid w:val="005B7921"/>
    <w:pPr>
      <w:spacing w:line="240" w:lineRule="auto"/>
    </w:pPr>
    <w:rPr>
      <w:sz w:val="20"/>
      <w:szCs w:val="20"/>
    </w:rPr>
  </w:style>
  <w:style w:type="character" w:customStyle="1" w:styleId="CommentTextChar">
    <w:name w:val="Comment Text Char"/>
    <w:basedOn w:val="DefaultParagraphFont"/>
    <w:link w:val="CommentText"/>
    <w:uiPriority w:val="99"/>
    <w:semiHidden/>
    <w:rsid w:val="005B7921"/>
    <w:rPr>
      <w:sz w:val="20"/>
      <w:szCs w:val="20"/>
    </w:rPr>
  </w:style>
  <w:style w:type="paragraph" w:styleId="CommentSubject">
    <w:name w:val="annotation subject"/>
    <w:basedOn w:val="CommentText"/>
    <w:next w:val="CommentText"/>
    <w:link w:val="CommentSubjectChar"/>
    <w:uiPriority w:val="99"/>
    <w:semiHidden/>
    <w:unhideWhenUsed/>
    <w:rsid w:val="005B7921"/>
    <w:rPr>
      <w:b/>
      <w:bCs/>
    </w:rPr>
  </w:style>
  <w:style w:type="character" w:customStyle="1" w:styleId="CommentSubjectChar">
    <w:name w:val="Comment Subject Char"/>
    <w:basedOn w:val="CommentTextChar"/>
    <w:link w:val="CommentSubject"/>
    <w:uiPriority w:val="99"/>
    <w:semiHidden/>
    <w:rsid w:val="005B7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I:\Content%20Development\MASTER%20TEMPLATES\EB%20Content\HR%20Brief\2020\HR_Brief-EB-2020-U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D192-3009-47E0-9045-789C161B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HR_Brief-EB-2020-US</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 Erik</dc:creator>
  <cp:lastModifiedBy>Thiel, Erik</cp:lastModifiedBy>
  <cp:revision>4</cp:revision>
  <dcterms:created xsi:type="dcterms:W3CDTF">2020-05-07T17:17:00Z</dcterms:created>
  <dcterms:modified xsi:type="dcterms:W3CDTF">2020-05-08T16:12:00Z</dcterms:modified>
</cp:coreProperties>
</file>