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F2B" w:rsidRPr="00C0624F" w:rsidRDefault="004119B9" w:rsidP="00F97F09">
      <w:pPr>
        <w:pStyle w:val="Article1"/>
      </w:pPr>
      <w:bookmarkStart w:id="0" w:name="_GoBack"/>
      <w:bookmarkEnd w:id="0"/>
      <w:r w:rsidRPr="00C0624F"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5270500</wp:posOffset>
            </wp:positionH>
            <wp:positionV relativeFrom="margin">
              <wp:posOffset>4445000</wp:posOffset>
            </wp:positionV>
            <wp:extent cx="1645923" cy="1120142"/>
            <wp:effectExtent l="0" t="0" r="0" b="0"/>
            <wp:wrapNone/>
            <wp:docPr id="100021" name="Picture 100021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6631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0</wp:posOffset>
                </wp:positionV>
                <wp:extent cx="1627505" cy="5887720"/>
                <wp:effectExtent l="0" t="0" r="1079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88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7FA" w:rsidRDefault="004119B9" w:rsidP="008D4445">
                            <w:pPr>
                              <w:pStyle w:val="Article1"/>
                            </w:pPr>
                            <w:r>
                              <w:t>A New Year, a New Form W-4</w:t>
                            </w:r>
                          </w:p>
                          <w:p w:rsidR="00066683" w:rsidRDefault="004119B9" w:rsidP="00066683">
                            <w:pPr>
                              <w:pStyle w:val="BasicCopy"/>
                            </w:pPr>
                            <w:r>
                              <w:t xml:space="preserve">The IRS released an updated version of its Form W-4, also known as the “Employee’s Withholding Certificate.” </w:t>
                            </w:r>
                          </w:p>
                          <w:p w:rsidR="00410130" w:rsidRDefault="004119B9" w:rsidP="00066683">
                            <w:pPr>
                              <w:pStyle w:val="BasicCopy"/>
                            </w:pPr>
                            <w:r>
                              <w:t xml:space="preserve">Employers use IRS Form W-4 to determine each employee’s federal tax withholdings. The new form is intended to </w:t>
                            </w:r>
                            <w:r>
                              <w:t>harmonize tax withholding declarations with the Tax Cuts and Jobs Act, which affected individuals for the first time during the last tax filing season.</w:t>
                            </w:r>
                          </w:p>
                          <w:p w:rsidR="009B2DA8" w:rsidRDefault="004119B9" w:rsidP="00066683">
                            <w:pPr>
                              <w:pStyle w:val="BasicCopy"/>
                            </w:pPr>
                            <w:r w:rsidRPr="009B2DA8">
                              <w:t>Employees may complete a new W-4 each year or each time they experience a change in their personal finan</w:t>
                            </w:r>
                            <w:r w:rsidRPr="009B2DA8">
                              <w:t>cial situation. However, the new form does not invalidate prior versions, and employers are not expected to replace W-4 forms from previous years with the 2020 version.</w:t>
                            </w:r>
                          </w:p>
                          <w:p w:rsidR="002D0500" w:rsidRDefault="004119B9" w:rsidP="002D0500">
                            <w:pPr>
                              <w:pStyle w:val="BasicCopy"/>
                              <w:spacing w:after="0"/>
                              <w:rPr>
                                <w:b/>
                              </w:rPr>
                            </w:pPr>
                            <w:r w:rsidRPr="002D0500">
                              <w:rPr>
                                <w:b/>
                              </w:rPr>
                              <w:t>Highlights of the New Form</w:t>
                            </w:r>
                          </w:p>
                          <w:p w:rsidR="002D0500" w:rsidRPr="002D0500" w:rsidRDefault="004119B9" w:rsidP="002D0500">
                            <w:pPr>
                              <w:pStyle w:val="BasicCopy"/>
                              <w:numPr>
                                <w:ilvl w:val="0"/>
                                <w:numId w:val="4"/>
                              </w:numPr>
                            </w:pPr>
                            <w:r w:rsidRPr="002D0500">
                              <w:t>The new form will prompt employees to declare whether</w:t>
                            </w:r>
                            <w:r>
                              <w:t xml:space="preserve"> they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1pt;margin-top:0;width:128.15pt;height:46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" filled="f" stroked="f">
                <v:textbox inset="0,,0">
                  <w:txbxContent>
                    <w:p w:rsidR="001667FA" w:rsidRDefault="004119B9" w:rsidP="008D4445">
                      <w:pPr>
                        <w:pStyle w:val="Article1"/>
                      </w:pPr>
                      <w:r>
                        <w:t>A New Year, a New Form W-4</w:t>
                      </w:r>
                    </w:p>
                    <w:p w:rsidR="00066683" w:rsidRDefault="004119B9" w:rsidP="00066683">
                      <w:pPr>
                        <w:pStyle w:val="BasicCopy"/>
                      </w:pPr>
                      <w:r>
                        <w:t xml:space="preserve">The IRS released an updated version of its Form W-4, also known as the “Employee’s Withholding Certificate.” </w:t>
                      </w:r>
                    </w:p>
                    <w:p w:rsidR="00410130" w:rsidRDefault="004119B9" w:rsidP="00066683">
                      <w:pPr>
                        <w:pStyle w:val="BasicCopy"/>
                      </w:pPr>
                      <w:r>
                        <w:t xml:space="preserve">Employers use IRS Form W-4 to determine each employee’s federal tax withholdings. The new form is intended to </w:t>
                      </w:r>
                      <w:r>
                        <w:t>harmonize tax withholding declarations with the Tax Cuts and Jobs Act, which affected individuals for the first time during the last tax filing season.</w:t>
                      </w:r>
                    </w:p>
                    <w:p w:rsidR="009B2DA8" w:rsidRDefault="004119B9" w:rsidP="00066683">
                      <w:pPr>
                        <w:pStyle w:val="BasicCopy"/>
                      </w:pPr>
                      <w:r w:rsidRPr="009B2DA8">
                        <w:t>Employees may complete a new W-4 each year or each time they experience a change in their personal finan</w:t>
                      </w:r>
                      <w:r w:rsidRPr="009B2DA8">
                        <w:t>cial situation. However, the new form does not invalidate prior versions, and employers are not expected to replace W-4 forms from previous years with the 2020 version.</w:t>
                      </w:r>
                    </w:p>
                    <w:p w:rsidR="002D0500" w:rsidRDefault="004119B9" w:rsidP="002D0500">
                      <w:pPr>
                        <w:pStyle w:val="BasicCopy"/>
                        <w:spacing w:after="0"/>
                        <w:rPr>
                          <w:b/>
                        </w:rPr>
                      </w:pPr>
                      <w:r w:rsidRPr="002D0500">
                        <w:rPr>
                          <w:b/>
                        </w:rPr>
                        <w:t>Highlights of the New Form</w:t>
                      </w:r>
                    </w:p>
                    <w:p w:rsidR="002D0500" w:rsidRPr="002D0500" w:rsidRDefault="004119B9" w:rsidP="002D0500">
                      <w:pPr>
                        <w:pStyle w:val="BasicCopy"/>
                        <w:numPr>
                          <w:ilvl w:val="0"/>
                          <w:numId w:val="4"/>
                        </w:numPr>
                      </w:pPr>
                      <w:r w:rsidRPr="002D0500">
                        <w:t>The new form will prompt employees to declare whether</w:t>
                      </w:r>
                      <w:r>
                        <w:t xml:space="preserve"> they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1E7"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0</wp:posOffset>
                </wp:positionV>
                <wp:extent cx="1627505" cy="5887720"/>
                <wp:effectExtent l="0" t="0" r="1079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88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A5A" w:rsidRDefault="004119B9" w:rsidP="00A72A5A">
                            <w:pPr>
                              <w:pStyle w:val="BasicCopy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72A5A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/>
                                <w:sz w:val="26"/>
                                <w:szCs w:val="26"/>
                              </w:rPr>
                              <w:t>DOL Updates Regular Rate of Pay Rules</w:t>
                            </w:r>
                          </w:p>
                          <w:p w:rsidR="00A72A5A" w:rsidRPr="00A72A5A" w:rsidRDefault="004119B9" w:rsidP="00071DAF">
                            <w:pPr>
                              <w:pStyle w:val="Footer"/>
                              <w:spacing w:after="240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T</w:t>
                            </w: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 xml:space="preserve">he U.S. Department of Labor (DOL), announced a new final rule that clarifies how to calculate an employee’s regular wage rate under the Fair Labor Standards Act (FLSA). The final rule </w:t>
                            </w:r>
                            <w:r w:rsidR="00071DAF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became</w:t>
                            </w: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 xml:space="preserve"> effective on Jan. 15, 20</w:t>
                            </w: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20.</w:t>
                            </w:r>
                          </w:p>
                          <w:p w:rsidR="00071DAF" w:rsidRDefault="004119B9" w:rsidP="00071DAF">
                            <w:pPr>
                              <w:pStyle w:val="Footer"/>
                              <w:spacing w:after="240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Calculating the regular rate is an essential first step when determining an employee’s overtime compensation.</w:t>
                            </w:r>
                          </w:p>
                          <w:p w:rsidR="00FE21E7" w:rsidRDefault="004119B9" w:rsidP="00071DAF">
                            <w:pPr>
                              <w:pStyle w:val="Footer"/>
                              <w:spacing w:after="240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Under the FLSA, an employee’s regular rate includes all forms of compensation paid to that employee in a workweek. The final rule clarifies wh</w:t>
                            </w:r>
                            <w:r w:rsidRPr="00A72A5A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at qualifies as compensation.</w:t>
                            </w:r>
                          </w:p>
                          <w:p w:rsidR="00071DAF" w:rsidRPr="00071DAF" w:rsidRDefault="004119B9" w:rsidP="00071DAF">
                            <w:pPr>
                              <w:pStyle w:val="Footer"/>
                              <w:spacing w:after="240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 w:rsidRPr="00071DAF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 xml:space="preserve">The DOL’s stated objective with this rule is to provide more certainty for employers that offer additional perks to their employees, but aren’t sure of whether these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0.75pt;margin-top:0;width:128.15pt;height:46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" filled="f" stroked="f">
                <v:textbox inset="0,,0">
                  <w:txbxContent>
                    <w:p w:rsidR="00A72A5A" w:rsidRDefault="004119B9" w:rsidP="00A72A5A">
                      <w:pPr>
                        <w:pStyle w:val="BasicCopy"/>
                        <w:rPr>
                          <w:rFonts w:asciiTheme="minorHAnsi" w:hAnsiTheme="minorHAnsi" w:cstheme="minorHAnsi"/>
                          <w:b/>
                          <w:noProof/>
                          <w:color w:val="000000"/>
                          <w:sz w:val="26"/>
                          <w:szCs w:val="26"/>
                        </w:rPr>
                      </w:pPr>
                      <w:r w:rsidRPr="00A72A5A">
                        <w:rPr>
                          <w:rFonts w:asciiTheme="minorHAnsi" w:hAnsiTheme="minorHAnsi" w:cstheme="minorHAnsi"/>
                          <w:b/>
                          <w:noProof/>
                          <w:color w:val="000000"/>
                          <w:sz w:val="26"/>
                          <w:szCs w:val="26"/>
                        </w:rPr>
                        <w:t>DOL Updates Regular Rate of Pay Rules</w:t>
                      </w:r>
                    </w:p>
                    <w:p w:rsidR="00A72A5A" w:rsidRPr="00A72A5A" w:rsidRDefault="004119B9" w:rsidP="00071DAF">
                      <w:pPr>
                        <w:pStyle w:val="Footer"/>
                        <w:spacing w:after="240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T</w:t>
                      </w: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 xml:space="preserve">he U.S. Department of Labor (DOL), announced a new final rule that clarifies how to calculate an employee’s regular wage rate under the Fair Labor Standards Act (FLSA). The final rule </w:t>
                      </w:r>
                      <w:r w:rsidR="00071DAF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became</w:t>
                      </w: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 xml:space="preserve"> effective on Jan. 15, 20</w:t>
                      </w: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20.</w:t>
                      </w:r>
                    </w:p>
                    <w:p w:rsidR="00071DAF" w:rsidRDefault="004119B9" w:rsidP="00071DAF">
                      <w:pPr>
                        <w:pStyle w:val="Footer"/>
                        <w:spacing w:after="240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Calculating the regular rate is an essential first step when determining an employee’s overtime compensation.</w:t>
                      </w:r>
                    </w:p>
                    <w:p w:rsidR="00FE21E7" w:rsidRDefault="004119B9" w:rsidP="00071DAF">
                      <w:pPr>
                        <w:pStyle w:val="Footer"/>
                        <w:spacing w:after="240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Under the FLSA, an employee’s regular rate includes all forms of compensation paid to that employee in a workweek. The final rule clarifies wh</w:t>
                      </w:r>
                      <w:r w:rsidRPr="00A72A5A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at qualifies as compensation.</w:t>
                      </w:r>
                    </w:p>
                    <w:p w:rsidR="00071DAF" w:rsidRPr="00071DAF" w:rsidRDefault="004119B9" w:rsidP="00071DAF">
                      <w:pPr>
                        <w:pStyle w:val="Footer"/>
                        <w:spacing w:after="240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 w:rsidRPr="00071DAF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 xml:space="preserve">The DOL’s stated objective with this rule is to provide more certainty for employers that offer additional perks to their employees, but aren’t sure of whether these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1E7"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0</wp:posOffset>
                </wp:positionV>
                <wp:extent cx="1764665" cy="5325110"/>
                <wp:effectExtent l="0" t="0" r="698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532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DAF" w:rsidRDefault="004119B9" w:rsidP="00071DAF">
                            <w:pPr>
                              <w:pStyle w:val="Footer"/>
                              <w:spacing w:after="240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 w:rsidRPr="00071DAF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benefits should be counted as income under the FLSA.</w:t>
                            </w:r>
                          </w:p>
                          <w:p w:rsidR="00071DAF" w:rsidRDefault="004119B9" w:rsidP="00071DAF">
                            <w:pPr>
                              <w:pStyle w:val="Footer"/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</w:pPr>
                            <w:r w:rsidRPr="00071DAF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  <w:t xml:space="preserve">New Rule </w:t>
                            </w:r>
                            <w:r w:rsidR="00E303C8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  <w:t>a</w:t>
                            </w:r>
                            <w:r w:rsidRPr="00071DAF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  <w:t>t a Glance</w:t>
                            </w:r>
                          </w:p>
                          <w:p w:rsidR="00071DAF" w:rsidRPr="00071DAF" w:rsidRDefault="004119B9" w:rsidP="00071DAF">
                            <w:pPr>
                              <w:pStyle w:val="BulletList"/>
                            </w:pPr>
                            <w:r w:rsidRPr="00071DAF">
                              <w:t xml:space="preserve">The last updates to the regular rate calculation instructions were made over 60 years ago. </w:t>
                            </w:r>
                          </w:p>
                          <w:p w:rsidR="00071DAF" w:rsidRPr="00071DAF" w:rsidRDefault="004119B9" w:rsidP="00071DAF">
                            <w:pPr>
                              <w:pStyle w:val="BulletList"/>
                            </w:pPr>
                            <w:r w:rsidRPr="00071DAF">
                              <w:t>The final rule accounts for newer forms of employee compensation and benefits.</w:t>
                            </w:r>
                          </w:p>
                          <w:p w:rsidR="00071DAF" w:rsidRPr="00071DAF" w:rsidRDefault="004119B9" w:rsidP="00071DAF">
                            <w:pPr>
                              <w:pStyle w:val="BulletList"/>
                            </w:pPr>
                            <w:r w:rsidRPr="00071DAF">
                              <w:t>The final rule eliminates the “infrequent and sporadic” requirem</w:t>
                            </w:r>
                            <w:r w:rsidRPr="00071DAF">
                              <w:t>ent to exclude call-back pay from the regular rate.</w:t>
                            </w:r>
                          </w:p>
                          <w:p w:rsidR="00071DAF" w:rsidRPr="00071DAF" w:rsidRDefault="004119B9" w:rsidP="00071DAF">
                            <w:pPr>
                              <w:pStyle w:val="Header"/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</w:pPr>
                            <w:r w:rsidRPr="00071DAF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0"/>
                              </w:rPr>
                              <w:t>Employer Takeaway</w:t>
                            </w:r>
                          </w:p>
                          <w:p w:rsidR="00071DAF" w:rsidRPr="00071DAF" w:rsidRDefault="004119B9" w:rsidP="00071DAF">
                            <w:pPr>
                              <w:pStyle w:val="Header"/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</w:pPr>
                            <w:r w:rsidRPr="00071DAF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>Employers should become familiar with this final rule and adjust their payroll practices to account for this new guidance on what should be considered compensation.</w:t>
                            </w:r>
                            <w:r w:rsidR="00C76471">
                              <w:rPr>
                                <w:rFonts w:asciiTheme="majorHAnsi" w:hAnsiTheme="majorHAnsi" w:cstheme="majorHAnsi"/>
                                <w:sz w:val="2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0.75pt;margin-top:0;width:138.95pt;height:419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" filled="f" stroked="f">
                <v:textbox inset="0,,0">
                  <w:txbxContent>
                    <w:p w:rsidR="00071DAF" w:rsidRDefault="004119B9" w:rsidP="00071DAF">
                      <w:pPr>
                        <w:pStyle w:val="Footer"/>
                        <w:spacing w:after="240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 w:rsidRPr="00071DAF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benefits should be counted as income under the FLSA.</w:t>
                      </w:r>
                    </w:p>
                    <w:p w:rsidR="00071DAF" w:rsidRDefault="004119B9" w:rsidP="00071DAF">
                      <w:pPr>
                        <w:pStyle w:val="Footer"/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</w:pPr>
                      <w:r w:rsidRPr="00071DAF"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  <w:t xml:space="preserve">New Rule </w:t>
                      </w:r>
                      <w:r w:rsidR="00E303C8"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  <w:t>a</w:t>
                      </w:r>
                      <w:r w:rsidRPr="00071DAF"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  <w:t>t a Glance</w:t>
                      </w:r>
                    </w:p>
                    <w:p w:rsidR="00071DAF" w:rsidRPr="00071DAF" w:rsidRDefault="004119B9" w:rsidP="00071DAF">
                      <w:pPr>
                        <w:pStyle w:val="BulletList"/>
                      </w:pPr>
                      <w:r w:rsidRPr="00071DAF">
                        <w:t xml:space="preserve">The last updates to the regular rate calculation instructions were made over 60 years ago. </w:t>
                      </w:r>
                    </w:p>
                    <w:p w:rsidR="00071DAF" w:rsidRPr="00071DAF" w:rsidRDefault="004119B9" w:rsidP="00071DAF">
                      <w:pPr>
                        <w:pStyle w:val="BulletList"/>
                      </w:pPr>
                      <w:r w:rsidRPr="00071DAF">
                        <w:t>The final rule accounts for newer forms of employee compensation and benefits.</w:t>
                      </w:r>
                    </w:p>
                    <w:p w:rsidR="00071DAF" w:rsidRPr="00071DAF" w:rsidRDefault="004119B9" w:rsidP="00071DAF">
                      <w:pPr>
                        <w:pStyle w:val="BulletList"/>
                      </w:pPr>
                      <w:r w:rsidRPr="00071DAF">
                        <w:t>The final rule eliminates the “infrequent and sporadic” requirem</w:t>
                      </w:r>
                      <w:r w:rsidRPr="00071DAF">
                        <w:t>ent to exclude call-back pay from the regular rate.</w:t>
                      </w:r>
                    </w:p>
                    <w:p w:rsidR="00071DAF" w:rsidRPr="00071DAF" w:rsidRDefault="004119B9" w:rsidP="00071DAF">
                      <w:pPr>
                        <w:pStyle w:val="Header"/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</w:pPr>
                      <w:r w:rsidRPr="00071DAF">
                        <w:rPr>
                          <w:rFonts w:asciiTheme="majorHAnsi" w:hAnsiTheme="majorHAnsi" w:cstheme="majorHAnsi"/>
                          <w:b/>
                          <w:sz w:val="21"/>
                          <w:szCs w:val="20"/>
                        </w:rPr>
                        <w:t>Employer Takeaway</w:t>
                      </w:r>
                    </w:p>
                    <w:p w:rsidR="00071DAF" w:rsidRPr="00071DAF" w:rsidRDefault="004119B9" w:rsidP="00071DAF">
                      <w:pPr>
                        <w:pStyle w:val="Header"/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</w:pPr>
                      <w:r w:rsidRPr="00071DAF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>Employers should become familiar with this final rule and adjust their payroll practices to account for this new guidance on what should be considered compensation.</w:t>
                      </w:r>
                      <w:r w:rsidR="00C76471">
                        <w:rPr>
                          <w:rFonts w:asciiTheme="majorHAnsi" w:hAnsiTheme="majorHAnsi" w:cstheme="majorHAnsi"/>
                          <w:sz w:val="21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445"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1612760</wp:posOffset>
                </wp:positionH>
                <wp:positionV relativeFrom="paragraph">
                  <wp:posOffset>440</wp:posOffset>
                </wp:positionV>
                <wp:extent cx="1764665" cy="5325626"/>
                <wp:effectExtent l="0" t="0" r="698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5325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E7" w:rsidRDefault="004119B9" w:rsidP="002D0500">
                            <w:pPr>
                              <w:pStyle w:val="BasicCopy"/>
                              <w:ind w:left="360"/>
                            </w:pPr>
                            <w:r w:rsidRPr="002D0500">
                              <w:t xml:space="preserve">have multiple </w:t>
                            </w:r>
                            <w:r w:rsidRPr="002D0500">
                              <w:t>sources of income (</w:t>
                            </w:r>
                            <w:r w:rsidR="00E303C8">
                              <w:t xml:space="preserve">e.g., </w:t>
                            </w:r>
                            <w:r w:rsidRPr="002D0500">
                              <w:t>two jobs</w:t>
                            </w:r>
                            <w:r w:rsidR="00E303C8">
                              <w:t xml:space="preserve"> or</w:t>
                            </w:r>
                            <w:r w:rsidRPr="002D0500">
                              <w:t xml:space="preserve"> two-earner households).</w:t>
                            </w:r>
                          </w:p>
                          <w:p w:rsidR="002D0500" w:rsidRDefault="004119B9" w:rsidP="002D0500">
                            <w:pPr>
                              <w:pStyle w:val="BasicCopy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New employees who fail to submit a Form W-4 after 2019 will be treated as single filer</w:t>
                            </w:r>
                            <w:r w:rsidR="00E303C8">
                              <w:t>s</w:t>
                            </w:r>
                            <w:r>
                              <w:t xml:space="preserve"> with no other adjustments.  </w:t>
                            </w:r>
                          </w:p>
                          <w:p w:rsidR="002D0500" w:rsidRDefault="004119B9" w:rsidP="002D0500">
                            <w:pPr>
                              <w:pStyle w:val="BasicCopy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The new form uses a five-step process. Only steps </w:t>
                            </w:r>
                            <w:r w:rsidR="00E303C8">
                              <w:t xml:space="preserve">one </w:t>
                            </w:r>
                            <w:r>
                              <w:t xml:space="preserve">and </w:t>
                            </w:r>
                            <w:r w:rsidR="00E303C8">
                              <w:t xml:space="preserve">five </w:t>
                            </w:r>
                            <w:r>
                              <w:t xml:space="preserve">are mandatory. </w:t>
                            </w:r>
                          </w:p>
                          <w:p w:rsidR="002D0500" w:rsidRDefault="004119B9" w:rsidP="002D0500">
                            <w:pPr>
                              <w:pStyle w:val="BasicCopy"/>
                              <w:spacing w:after="0"/>
                            </w:pPr>
                            <w:bookmarkStart w:id="1" w:name="_Hlk29300312"/>
                            <w:r w:rsidRPr="002D0500">
                              <w:rPr>
                                <w:b/>
                              </w:rPr>
                              <w:t>Employer Takeaway</w:t>
                            </w:r>
                          </w:p>
                          <w:p w:rsidR="002D0500" w:rsidRDefault="004119B9" w:rsidP="002D0500">
                            <w:pPr>
                              <w:pStyle w:val="BasicCopy"/>
                            </w:pPr>
                            <w:r>
                              <w:t xml:space="preserve">Employers should </w:t>
                            </w:r>
                            <w:bookmarkEnd w:id="1"/>
                            <w:r>
                              <w:t xml:space="preserve">become familiar with the updates to IRS Form W-4 and make it available for all new hires and employees who wish to amend their withholding declarations in 2020. </w:t>
                            </w:r>
                          </w:p>
                          <w:p w:rsidR="002D0500" w:rsidRPr="002D0500" w:rsidRDefault="004119B9" w:rsidP="002D0500">
                            <w:pPr>
                              <w:pStyle w:val="BasicCopy"/>
                            </w:pPr>
                            <w:r>
                              <w:t xml:space="preserve">Please note that employers are not required to update W-4 </w:t>
                            </w:r>
                            <w:r>
                              <w:t xml:space="preserve">forms that were completed and filed on or before 2019.  </w:t>
                            </w:r>
                          </w:p>
                          <w:p w:rsidR="00FE21E7" w:rsidRDefault="00FE21E7" w:rsidP="00FE21E7">
                            <w:pPr>
                              <w:pStyle w:val="Article1"/>
                            </w:pPr>
                          </w:p>
                          <w:p w:rsidR="001667FA" w:rsidRDefault="001667FA" w:rsidP="001667FA"/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7pt;margin-top:.05pt;width:138.95pt;height:41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" filled="f" stroked="f">
                <v:textbox inset="0,,0">
                  <w:txbxContent>
                    <w:p w:rsidR="00FE21E7" w:rsidRDefault="004119B9" w:rsidP="002D0500">
                      <w:pPr>
                        <w:pStyle w:val="BasicCopy"/>
                        <w:ind w:left="360"/>
                      </w:pPr>
                      <w:r w:rsidRPr="002D0500">
                        <w:t xml:space="preserve">have multiple </w:t>
                      </w:r>
                      <w:r w:rsidRPr="002D0500">
                        <w:t>sources of income (</w:t>
                      </w:r>
                      <w:r w:rsidR="00E303C8">
                        <w:t xml:space="preserve">e.g., </w:t>
                      </w:r>
                      <w:r w:rsidRPr="002D0500">
                        <w:t>two jobs</w:t>
                      </w:r>
                      <w:r w:rsidR="00E303C8">
                        <w:t xml:space="preserve"> or</w:t>
                      </w:r>
                      <w:r w:rsidRPr="002D0500">
                        <w:t xml:space="preserve"> two-earner households).</w:t>
                      </w:r>
                    </w:p>
                    <w:p w:rsidR="002D0500" w:rsidRDefault="004119B9" w:rsidP="002D0500">
                      <w:pPr>
                        <w:pStyle w:val="BasicCopy"/>
                        <w:numPr>
                          <w:ilvl w:val="0"/>
                          <w:numId w:val="5"/>
                        </w:numPr>
                      </w:pPr>
                      <w:r>
                        <w:t>New employees who fail to submit a Form W-4 after 2019 will be treated as single filer</w:t>
                      </w:r>
                      <w:r w:rsidR="00E303C8">
                        <w:t>s</w:t>
                      </w:r>
                      <w:r>
                        <w:t xml:space="preserve"> with no other adjustments.  </w:t>
                      </w:r>
                    </w:p>
                    <w:p w:rsidR="002D0500" w:rsidRDefault="004119B9" w:rsidP="002D0500">
                      <w:pPr>
                        <w:pStyle w:val="BasicCopy"/>
                        <w:numPr>
                          <w:ilvl w:val="0"/>
                          <w:numId w:val="5"/>
                        </w:numPr>
                      </w:pPr>
                      <w:r>
                        <w:t xml:space="preserve">The new form uses a five-step process. Only steps </w:t>
                      </w:r>
                      <w:r w:rsidR="00E303C8">
                        <w:t xml:space="preserve">one </w:t>
                      </w:r>
                      <w:r>
                        <w:t xml:space="preserve">and </w:t>
                      </w:r>
                      <w:r w:rsidR="00E303C8">
                        <w:t xml:space="preserve">five </w:t>
                      </w:r>
                      <w:r>
                        <w:t xml:space="preserve">are mandatory. </w:t>
                      </w:r>
                    </w:p>
                    <w:p w:rsidR="002D0500" w:rsidRDefault="004119B9" w:rsidP="002D0500">
                      <w:pPr>
                        <w:pStyle w:val="BasicCopy"/>
                        <w:spacing w:after="0"/>
                      </w:pPr>
                      <w:bookmarkStart w:id="2" w:name="_Hlk29300312"/>
                      <w:r w:rsidRPr="002D0500">
                        <w:rPr>
                          <w:b/>
                        </w:rPr>
                        <w:t>Employer Takeaway</w:t>
                      </w:r>
                    </w:p>
                    <w:p w:rsidR="002D0500" w:rsidRDefault="004119B9" w:rsidP="002D0500">
                      <w:pPr>
                        <w:pStyle w:val="BasicCopy"/>
                      </w:pPr>
                      <w:r>
                        <w:t xml:space="preserve">Employers should </w:t>
                      </w:r>
                      <w:bookmarkEnd w:id="2"/>
                      <w:r>
                        <w:t xml:space="preserve">become familiar with the updates to IRS Form W-4 and make it available for all new hires and employees who wish to amend their withholding declarations in 2020. </w:t>
                      </w:r>
                    </w:p>
                    <w:p w:rsidR="002D0500" w:rsidRPr="002D0500" w:rsidRDefault="004119B9" w:rsidP="002D0500">
                      <w:pPr>
                        <w:pStyle w:val="BasicCopy"/>
                      </w:pPr>
                      <w:r>
                        <w:t xml:space="preserve">Please note that employers are not required to update W-4 </w:t>
                      </w:r>
                      <w:r>
                        <w:t xml:space="preserve">forms that were completed and filed on or before 2019.  </w:t>
                      </w:r>
                    </w:p>
                    <w:p w:rsidR="00FE21E7" w:rsidRDefault="00FE21E7" w:rsidP="00FE21E7">
                      <w:pPr>
                        <w:pStyle w:val="Article1"/>
                      </w:pPr>
                    </w:p>
                    <w:p w:rsidR="001667FA" w:rsidRDefault="001667FA" w:rsidP="001667FA"/>
                  </w:txbxContent>
                </v:textbox>
                <w10:wrap type="square"/>
              </v:shape>
            </w:pict>
          </mc:Fallback>
        </mc:AlternateContent>
      </w:r>
      <w:r w:rsidR="003F1B86" w:rsidRPr="00130CBD"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1615440</wp:posOffset>
                </wp:positionV>
                <wp:extent cx="7576185" cy="307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24F" w:rsidRPr="00AD3A69" w:rsidRDefault="004119B9" w:rsidP="008D08A1">
                            <w:pPr>
                              <w:pStyle w:val="HeaderInfo"/>
                            </w:pPr>
                            <w:r w:rsidRPr="00AD3A69">
                              <w:t>Provided by</w:t>
                            </w:r>
                            <w:r>
                              <w:t xml:space="preserve"> </w:t>
                            </w:r>
                            <w:r w:rsidRPr="008D08A1">
                              <w:rPr>
                                <w:b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0;margin-top:127.2pt;width:596.55pt;height:24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" filled="f" stroked="f" strokeweight=".5pt">
                <v:textbox>
                  <w:txbxContent>
                    <w:p w:rsidR="00C0624F" w:rsidRPr="00AD3A69" w:rsidRDefault="004119B9" w:rsidP="008D08A1">
                      <w:pPr>
                        <w:pStyle w:val="HeaderInfo"/>
                      </w:pPr>
                      <w:r w:rsidRPr="00AD3A69">
                        <w:t>Provided by</w:t>
                      </w:r>
                      <w:r>
                        <w:t xml:space="preserve"> </w:t>
                      </w:r>
                      <w:r w:rsidRPr="008D08A1">
                        <w:rPr>
                          <w:b/>
                        </w:rPr>
                        <w:t>The Richards Group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A41E9" w:rsidRPr="00130CBD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307975</wp:posOffset>
                </wp:positionV>
                <wp:extent cx="3311525" cy="331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24F" w:rsidRPr="00AD3A69" w:rsidRDefault="004119B9" w:rsidP="008D08A1">
                            <w:pPr>
                              <w:pStyle w:val="HeaderInfo"/>
                            </w:pPr>
                            <w:r>
                              <w:rPr>
                                <w:b/>
                              </w:rPr>
                              <w:t>February</w:t>
                            </w:r>
                            <w:r w:rsidRPr="00AD3A69">
                              <w:t xml:space="preserve"> </w:t>
                            </w:r>
                            <w:r w:rsidRPr="00766ECB">
                              <w:t>20</w:t>
                            </w:r>
                            <w:r w:rsidR="00FC2C40">
                              <w:t>2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0;margin-top:24.25pt;width:260.75pt;height:26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" filled="f" stroked="f" strokeweight=".5pt">
                <v:textbox>
                  <w:txbxContent>
                    <w:p w:rsidR="00C0624F" w:rsidRPr="00AD3A69" w:rsidRDefault="004119B9" w:rsidP="008D08A1">
                      <w:pPr>
                        <w:pStyle w:val="HeaderInfo"/>
                      </w:pPr>
                      <w:r>
                        <w:rPr>
                          <w:b/>
                        </w:rPr>
                        <w:t>February</w:t>
                      </w:r>
                      <w:r w:rsidRPr="00AD3A69">
                        <w:t xml:space="preserve"> </w:t>
                      </w:r>
                      <w:r w:rsidRPr="00766ECB">
                        <w:t>20</w:t>
                      </w:r>
                      <w:r w:rsidR="00FC2C40">
                        <w:t>2</w:t>
                      </w:r>
                      <w:r>
                        <w:t>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44F2B" w:rsidRPr="00C0624F" w:rsidSect="00B95FD3">
      <w:headerReference w:type="default" r:id="rId9"/>
      <w:footerReference w:type="default" r:id="rId10"/>
      <w:type w:val="continuous"/>
      <w:pgSz w:w="12240" w:h="15840"/>
      <w:pgMar w:top="5400" w:right="720" w:bottom="2592" w:left="720" w:header="720" w:footer="720" w:gutter="0"/>
      <w:cols w:num="4" w:space="38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119B9">
      <w:pPr>
        <w:spacing w:after="0" w:line="240" w:lineRule="auto"/>
      </w:pPr>
      <w:r>
        <w:separator/>
      </w:r>
    </w:p>
  </w:endnote>
  <w:endnote w:type="continuationSeparator" w:id="0">
    <w:p w:rsidR="00000000" w:rsidRDefault="0041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637" w:rsidRDefault="004119B9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-251209</wp:posOffset>
              </wp:positionH>
              <wp:positionV relativeFrom="page">
                <wp:posOffset>9550958</wp:posOffset>
              </wp:positionV>
              <wp:extent cx="2071370" cy="2101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32637" w:rsidRPr="00044F2B" w:rsidRDefault="004119B9" w:rsidP="0023263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 w:rsidR="00E303C8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-19.8pt;margin-top:752.05pt;width:163.1pt;height:16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" filled="f" stroked="f" strokeweight=".5pt">
              <v:textbox>
                <w:txbxContent>
                  <w:p w:rsidR="00232637" w:rsidRPr="00044F2B" w:rsidRDefault="004119B9" w:rsidP="0023263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 w:rsidR="00E303C8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119B9">
      <w:pPr>
        <w:spacing w:after="0" w:line="240" w:lineRule="auto"/>
      </w:pPr>
      <w:r>
        <w:separator/>
      </w:r>
    </w:p>
  </w:footnote>
  <w:footnote w:type="continuationSeparator" w:id="0">
    <w:p w:rsidR="00000000" w:rsidRDefault="00411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F2B" w:rsidRDefault="004119B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3415294</wp:posOffset>
              </wp:positionH>
              <wp:positionV relativeFrom="paragraph">
                <wp:posOffset>2984500</wp:posOffset>
              </wp:positionV>
              <wp:extent cx="0" cy="4977441"/>
              <wp:effectExtent l="19050" t="0" r="19050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7441"/>
                      </a:xfrm>
                      <a:prstGeom prst="line">
                        <a:avLst/>
                      </a:prstGeom>
                      <a:ln w="317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2049" style="mso-wrap-distance-bottom:0;mso-wrap-distance-left:9pt;mso-wrap-distance-right:9pt;mso-wrap-distance-top:0;mso-wrap-style:square;position:absolute;visibility:visible;z-index:251660288" from="268.9pt,235pt" to="268.9pt,626.9pt" strokecolor="#a5a5a5" strokeweight="2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45794"/>
    <w:multiLevelType w:val="hybridMultilevel"/>
    <w:tmpl w:val="431E6B16"/>
    <w:lvl w:ilvl="0" w:tplc="5ACE136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51EAACA" w:tentative="1">
      <w:start w:val="1"/>
      <w:numFmt w:val="lowerLetter"/>
      <w:lvlText w:val="%2."/>
      <w:lvlJc w:val="left"/>
      <w:pPr>
        <w:ind w:left="1440" w:hanging="360"/>
      </w:pPr>
    </w:lvl>
    <w:lvl w:ilvl="2" w:tplc="8A0C6BB2" w:tentative="1">
      <w:start w:val="1"/>
      <w:numFmt w:val="lowerRoman"/>
      <w:lvlText w:val="%3."/>
      <w:lvlJc w:val="right"/>
      <w:pPr>
        <w:ind w:left="2160" w:hanging="180"/>
      </w:pPr>
    </w:lvl>
    <w:lvl w:ilvl="3" w:tplc="F91439B0" w:tentative="1">
      <w:start w:val="1"/>
      <w:numFmt w:val="decimal"/>
      <w:lvlText w:val="%4."/>
      <w:lvlJc w:val="left"/>
      <w:pPr>
        <w:ind w:left="2880" w:hanging="360"/>
      </w:pPr>
    </w:lvl>
    <w:lvl w:ilvl="4" w:tplc="7872368C" w:tentative="1">
      <w:start w:val="1"/>
      <w:numFmt w:val="lowerLetter"/>
      <w:lvlText w:val="%5."/>
      <w:lvlJc w:val="left"/>
      <w:pPr>
        <w:ind w:left="3600" w:hanging="360"/>
      </w:pPr>
    </w:lvl>
    <w:lvl w:ilvl="5" w:tplc="E2ECF3AE" w:tentative="1">
      <w:start w:val="1"/>
      <w:numFmt w:val="lowerRoman"/>
      <w:lvlText w:val="%6."/>
      <w:lvlJc w:val="right"/>
      <w:pPr>
        <w:ind w:left="4320" w:hanging="180"/>
      </w:pPr>
    </w:lvl>
    <w:lvl w:ilvl="6" w:tplc="200CBDCA" w:tentative="1">
      <w:start w:val="1"/>
      <w:numFmt w:val="decimal"/>
      <w:lvlText w:val="%7."/>
      <w:lvlJc w:val="left"/>
      <w:pPr>
        <w:ind w:left="5040" w:hanging="360"/>
      </w:pPr>
    </w:lvl>
    <w:lvl w:ilvl="7" w:tplc="A20656B8" w:tentative="1">
      <w:start w:val="1"/>
      <w:numFmt w:val="lowerLetter"/>
      <w:lvlText w:val="%8."/>
      <w:lvlJc w:val="left"/>
      <w:pPr>
        <w:ind w:left="5760" w:hanging="360"/>
      </w:pPr>
    </w:lvl>
    <w:lvl w:ilvl="8" w:tplc="57780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165A"/>
    <w:multiLevelType w:val="hybridMultilevel"/>
    <w:tmpl w:val="8EE20A00"/>
    <w:lvl w:ilvl="0" w:tplc="8264A6F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8FD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F44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83C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76A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32F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0D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2A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FE21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2701F"/>
    <w:multiLevelType w:val="hybridMultilevel"/>
    <w:tmpl w:val="35FEC676"/>
    <w:lvl w:ilvl="0" w:tplc="10D89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8B9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D243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A8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F0C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F47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01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C46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E48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10178"/>
    <w:multiLevelType w:val="hybridMultilevel"/>
    <w:tmpl w:val="F050E26C"/>
    <w:lvl w:ilvl="0" w:tplc="963AA5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325B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D2DA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5EFF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80CD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7011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E0B8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8497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3AFC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3B46A2"/>
    <w:multiLevelType w:val="hybridMultilevel"/>
    <w:tmpl w:val="427E3B28"/>
    <w:lvl w:ilvl="0" w:tplc="BB1484F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FA3328">
      <w:start w:val="1"/>
      <w:numFmt w:val="bullet"/>
      <w:pStyle w:val="Sub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F44F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895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664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61C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BA5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04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0810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D335D"/>
    <w:multiLevelType w:val="hybridMultilevel"/>
    <w:tmpl w:val="74625D56"/>
    <w:lvl w:ilvl="0" w:tplc="28604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2B4DC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285A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3A36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4A0D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EA73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94F7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18F4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3A9F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3C0"/>
    <w:rsid w:val="0002609E"/>
    <w:rsid w:val="00044F2B"/>
    <w:rsid w:val="00066683"/>
    <w:rsid w:val="00067A88"/>
    <w:rsid w:val="00067E11"/>
    <w:rsid w:val="00071DAF"/>
    <w:rsid w:val="000A0AE3"/>
    <w:rsid w:val="000C1AFF"/>
    <w:rsid w:val="000D66B6"/>
    <w:rsid w:val="00110C2E"/>
    <w:rsid w:val="00130CBD"/>
    <w:rsid w:val="00132D87"/>
    <w:rsid w:val="001347F0"/>
    <w:rsid w:val="001667FA"/>
    <w:rsid w:val="00172EF4"/>
    <w:rsid w:val="0018711F"/>
    <w:rsid w:val="001A15B9"/>
    <w:rsid w:val="00232637"/>
    <w:rsid w:val="0026396D"/>
    <w:rsid w:val="00265557"/>
    <w:rsid w:val="0027096B"/>
    <w:rsid w:val="002A33D2"/>
    <w:rsid w:val="002D0500"/>
    <w:rsid w:val="002D14A1"/>
    <w:rsid w:val="003661E9"/>
    <w:rsid w:val="0036670C"/>
    <w:rsid w:val="003C2E3B"/>
    <w:rsid w:val="003F1B86"/>
    <w:rsid w:val="00410130"/>
    <w:rsid w:val="004119B9"/>
    <w:rsid w:val="00443A42"/>
    <w:rsid w:val="004452BF"/>
    <w:rsid w:val="00447048"/>
    <w:rsid w:val="00465D37"/>
    <w:rsid w:val="004660E1"/>
    <w:rsid w:val="005E6DBD"/>
    <w:rsid w:val="006E5A67"/>
    <w:rsid w:val="006E6936"/>
    <w:rsid w:val="006F735C"/>
    <w:rsid w:val="00766ECB"/>
    <w:rsid w:val="007C6965"/>
    <w:rsid w:val="007D4EC1"/>
    <w:rsid w:val="00812D4A"/>
    <w:rsid w:val="008A2ACD"/>
    <w:rsid w:val="008B6A20"/>
    <w:rsid w:val="008C53C0"/>
    <w:rsid w:val="008D08A1"/>
    <w:rsid w:val="008D4445"/>
    <w:rsid w:val="00926F43"/>
    <w:rsid w:val="00952044"/>
    <w:rsid w:val="0096300C"/>
    <w:rsid w:val="009B2DA8"/>
    <w:rsid w:val="009F74F9"/>
    <w:rsid w:val="00A72A5A"/>
    <w:rsid w:val="00AB3C5E"/>
    <w:rsid w:val="00AB5637"/>
    <w:rsid w:val="00AD385B"/>
    <w:rsid w:val="00AD3A69"/>
    <w:rsid w:val="00AE6AB0"/>
    <w:rsid w:val="00B068D1"/>
    <w:rsid w:val="00B47124"/>
    <w:rsid w:val="00B56BD7"/>
    <w:rsid w:val="00B95FD3"/>
    <w:rsid w:val="00BD7582"/>
    <w:rsid w:val="00C00616"/>
    <w:rsid w:val="00C0624F"/>
    <w:rsid w:val="00C76471"/>
    <w:rsid w:val="00CA41E9"/>
    <w:rsid w:val="00CA537C"/>
    <w:rsid w:val="00CC4055"/>
    <w:rsid w:val="00CC61F8"/>
    <w:rsid w:val="00CE2733"/>
    <w:rsid w:val="00CE778C"/>
    <w:rsid w:val="00D005C0"/>
    <w:rsid w:val="00D91CB1"/>
    <w:rsid w:val="00DA2545"/>
    <w:rsid w:val="00E303C8"/>
    <w:rsid w:val="00E36849"/>
    <w:rsid w:val="00E56B13"/>
    <w:rsid w:val="00E94A10"/>
    <w:rsid w:val="00EB19D6"/>
    <w:rsid w:val="00ED1F9B"/>
    <w:rsid w:val="00EE0F5A"/>
    <w:rsid w:val="00EF342A"/>
    <w:rsid w:val="00F32E0F"/>
    <w:rsid w:val="00F97F09"/>
    <w:rsid w:val="00FC2C40"/>
    <w:rsid w:val="00FE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04AB69-6229-4018-A3F3-C1E1A2E4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2B"/>
  </w:style>
  <w:style w:type="paragraph" w:styleId="Footer">
    <w:name w:val="footer"/>
    <w:basedOn w:val="Normal"/>
    <w:link w:val="Foot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F2B"/>
  </w:style>
  <w:style w:type="paragraph" w:customStyle="1" w:styleId="BasicParagraph">
    <w:name w:val="[Basic Paragraph]"/>
    <w:basedOn w:val="Normal"/>
    <w:link w:val="BasicParagraphChar"/>
    <w:uiPriority w:val="99"/>
    <w:rsid w:val="00044F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rticleHeader">
    <w:name w:val="Article Header"/>
    <w:basedOn w:val="BasicParagraph"/>
    <w:link w:val="ArticleHeaderChar"/>
    <w:rsid w:val="00E36849"/>
    <w:pPr>
      <w:spacing w:after="80" w:line="192" w:lineRule="auto"/>
    </w:pPr>
    <w:rPr>
      <w:rFonts w:ascii="Arial Black" w:hAnsi="Arial Black" w:cs="Arial Black"/>
    </w:rPr>
  </w:style>
  <w:style w:type="paragraph" w:customStyle="1" w:styleId="BulletedList">
    <w:name w:val="Bulleted List"/>
    <w:basedOn w:val="Normal"/>
    <w:link w:val="BulletedListChar"/>
    <w:rsid w:val="0018711F"/>
    <w:pPr>
      <w:numPr>
        <w:numId w:val="1"/>
      </w:numPr>
      <w:spacing w:after="0" w:line="240" w:lineRule="auto"/>
      <w:ind w:left="270" w:hanging="180"/>
    </w:pPr>
    <w:rPr>
      <w:rFonts w:ascii="Arial" w:hAnsi="Arial" w:cs="Arial"/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8711F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rticleHeaderChar">
    <w:name w:val="Article Header Char"/>
    <w:basedOn w:val="BasicParagraphChar"/>
    <w:link w:val="ArticleHeader"/>
    <w:rsid w:val="00E36849"/>
    <w:rPr>
      <w:rFonts w:ascii="Arial Black" w:hAnsi="Arial Black" w:cs="Arial Black"/>
      <w:color w:val="000000"/>
      <w:sz w:val="24"/>
      <w:szCs w:val="24"/>
    </w:rPr>
  </w:style>
  <w:style w:type="paragraph" w:customStyle="1" w:styleId="NumberedList">
    <w:name w:val="Numbered List"/>
    <w:basedOn w:val="BulletedList"/>
    <w:link w:val="NumberedListChar"/>
    <w:rsid w:val="0018711F"/>
    <w:pPr>
      <w:numPr>
        <w:numId w:val="2"/>
      </w:numPr>
    </w:pPr>
  </w:style>
  <w:style w:type="character" w:customStyle="1" w:styleId="BulletedListChar">
    <w:name w:val="Bulleted List Char"/>
    <w:basedOn w:val="DefaultParagraphFont"/>
    <w:link w:val="BulletedList"/>
    <w:rsid w:val="0018711F"/>
    <w:rPr>
      <w:rFonts w:ascii="Arial" w:hAnsi="Arial" w:cs="Arial"/>
      <w:sz w:val="20"/>
      <w:szCs w:val="20"/>
    </w:rPr>
  </w:style>
  <w:style w:type="character" w:customStyle="1" w:styleId="NumberedListChar">
    <w:name w:val="Numbered List Char"/>
    <w:basedOn w:val="BulletedListChar"/>
    <w:link w:val="NumberedList"/>
    <w:rsid w:val="0018711F"/>
    <w:rPr>
      <w:rFonts w:ascii="Arial" w:hAnsi="Arial" w:cs="Arial"/>
      <w:sz w:val="20"/>
      <w:szCs w:val="20"/>
    </w:rPr>
  </w:style>
  <w:style w:type="paragraph" w:customStyle="1" w:styleId="HeaderInformation">
    <w:name w:val="Header Information"/>
    <w:basedOn w:val="Normal"/>
    <w:link w:val="HeaderInformationChar"/>
    <w:rsid w:val="00AD3A69"/>
    <w:pPr>
      <w:jc w:val="center"/>
    </w:pPr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BodyText1">
    <w:name w:val="Body Text1"/>
    <w:basedOn w:val="Normal"/>
    <w:link w:val="bodytextChar"/>
    <w:rsid w:val="00110C2E"/>
    <w:pPr>
      <w:spacing w:after="120" w:line="240" w:lineRule="auto"/>
    </w:pPr>
    <w:rPr>
      <w:rFonts w:ascii="Arial" w:hAnsi="Arial" w:cs="Arial"/>
      <w:sz w:val="20"/>
      <w:szCs w:val="20"/>
    </w:rPr>
  </w:style>
  <w:style w:type="character" w:customStyle="1" w:styleId="HeaderInformationChar">
    <w:name w:val="Header Information Char"/>
    <w:basedOn w:val="DefaultParagraphFont"/>
    <w:link w:val="HeaderInformation"/>
    <w:rsid w:val="00AD3A69"/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bodytextChar">
    <w:name w:val="body text Char"/>
    <w:basedOn w:val="DefaultParagraphFont"/>
    <w:link w:val="BodyText1"/>
    <w:rsid w:val="00110C2E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0C2E"/>
    <w:rPr>
      <w:color w:val="0563C1" w:themeColor="hyperlink"/>
      <w:u w:val="single"/>
    </w:rPr>
  </w:style>
  <w:style w:type="paragraph" w:customStyle="1" w:styleId="HeaderInfo">
    <w:name w:val="Header Info"/>
    <w:basedOn w:val="HeaderInformation"/>
    <w:link w:val="HeaderInfoChar"/>
    <w:qFormat/>
    <w:rsid w:val="008D08A1"/>
    <w:rPr>
      <w:b w:val="0"/>
    </w:rPr>
  </w:style>
  <w:style w:type="paragraph" w:customStyle="1" w:styleId="Article1">
    <w:name w:val="Article 1"/>
    <w:link w:val="Article1Char"/>
    <w:qFormat/>
    <w:rsid w:val="00130CBD"/>
    <w:pPr>
      <w:spacing w:after="120"/>
    </w:pPr>
    <w:rPr>
      <w:rFonts w:cstheme="minorHAnsi"/>
      <w:b/>
      <w:noProof/>
      <w:color w:val="000000"/>
      <w:sz w:val="26"/>
      <w:szCs w:val="26"/>
    </w:rPr>
  </w:style>
  <w:style w:type="character" w:customStyle="1" w:styleId="HeaderInfoChar">
    <w:name w:val="Header Info Char"/>
    <w:basedOn w:val="HeaderInformationChar"/>
    <w:link w:val="HeaderInfo"/>
    <w:rsid w:val="008D08A1"/>
    <w:rPr>
      <w:rFonts w:ascii="Arial" w:hAnsi="Arial" w:cs="Arial"/>
      <w:b w:val="0"/>
      <w:color w:val="FFFFFF" w:themeColor="background1"/>
      <w:sz w:val="28"/>
      <w:szCs w:val="28"/>
    </w:rPr>
  </w:style>
  <w:style w:type="paragraph" w:customStyle="1" w:styleId="Article2">
    <w:name w:val="Article 2"/>
    <w:basedOn w:val="ArticleHeader"/>
    <w:link w:val="Article2Char"/>
    <w:rsid w:val="00CE778C"/>
    <w:pPr>
      <w:pBdr>
        <w:top w:val="single" w:sz="4" w:space="6" w:color="auto"/>
      </w:pBdr>
      <w:spacing w:before="320"/>
    </w:pPr>
    <w:rPr>
      <w:rFonts w:asciiTheme="minorHAnsi" w:hAnsiTheme="minorHAnsi" w:cstheme="minorHAnsi"/>
      <w:b/>
      <w:sz w:val="26"/>
      <w:szCs w:val="26"/>
    </w:rPr>
  </w:style>
  <w:style w:type="character" w:customStyle="1" w:styleId="Article1Char">
    <w:name w:val="Article 1 Char"/>
    <w:basedOn w:val="ArticleHeaderChar"/>
    <w:link w:val="Article1"/>
    <w:rsid w:val="00130CBD"/>
    <w:rPr>
      <w:rFonts w:ascii="Arial Black" w:hAnsi="Arial Black" w:cstheme="minorHAnsi"/>
      <w:b/>
      <w:noProof/>
      <w:color w:val="000000"/>
      <w:sz w:val="26"/>
      <w:szCs w:val="26"/>
    </w:rPr>
  </w:style>
  <w:style w:type="paragraph" w:customStyle="1" w:styleId="BasicCopy">
    <w:name w:val="Basic Copy"/>
    <w:basedOn w:val="Normal"/>
    <w:link w:val="BasicCopyChar"/>
    <w:qFormat/>
    <w:rsid w:val="002A33D2"/>
    <w:pPr>
      <w:spacing w:after="120" w:line="240" w:lineRule="auto"/>
    </w:pPr>
    <w:rPr>
      <w:rFonts w:asciiTheme="majorHAnsi" w:hAnsiTheme="majorHAnsi" w:cstheme="majorHAnsi"/>
      <w:sz w:val="21"/>
      <w:szCs w:val="20"/>
    </w:rPr>
  </w:style>
  <w:style w:type="character" w:customStyle="1" w:styleId="Article2Char">
    <w:name w:val="Article 2 Char"/>
    <w:basedOn w:val="ArticleHeaderChar"/>
    <w:link w:val="Article2"/>
    <w:rsid w:val="00CE778C"/>
    <w:rPr>
      <w:rFonts w:ascii="Arial Black" w:hAnsi="Arial Black" w:cstheme="minorHAnsi"/>
      <w:b/>
      <w:color w:val="000000"/>
      <w:sz w:val="26"/>
      <w:szCs w:val="26"/>
    </w:rPr>
  </w:style>
  <w:style w:type="character" w:customStyle="1" w:styleId="BasicCopyChar">
    <w:name w:val="Basic Copy Char"/>
    <w:basedOn w:val="DefaultParagraphFont"/>
    <w:link w:val="BasicCopy"/>
    <w:rsid w:val="002A33D2"/>
    <w:rPr>
      <w:rFonts w:asciiTheme="majorHAnsi" w:hAnsiTheme="majorHAnsi" w:cstheme="majorHAnsi"/>
      <w:sz w:val="21"/>
      <w:szCs w:val="20"/>
    </w:rPr>
  </w:style>
  <w:style w:type="paragraph" w:customStyle="1" w:styleId="BulletList">
    <w:name w:val="Bullet List"/>
    <w:basedOn w:val="BasicCopy"/>
    <w:link w:val="BulletListChar"/>
    <w:qFormat/>
    <w:rsid w:val="00952044"/>
    <w:pPr>
      <w:numPr>
        <w:numId w:val="3"/>
      </w:numPr>
      <w:ind w:left="360" w:hanging="180"/>
    </w:pPr>
  </w:style>
  <w:style w:type="paragraph" w:customStyle="1" w:styleId="SubBullet">
    <w:name w:val="Sub Bullet"/>
    <w:basedOn w:val="BulletList"/>
    <w:link w:val="SubBulletChar"/>
    <w:qFormat/>
    <w:rsid w:val="00952044"/>
    <w:pPr>
      <w:numPr>
        <w:ilvl w:val="1"/>
      </w:numPr>
      <w:ind w:left="630" w:hanging="180"/>
    </w:pPr>
  </w:style>
  <w:style w:type="character" w:customStyle="1" w:styleId="BulletListChar">
    <w:name w:val="Bullet List Char"/>
    <w:basedOn w:val="BasicCopyChar"/>
    <w:link w:val="BulletList"/>
    <w:rsid w:val="00952044"/>
    <w:rPr>
      <w:rFonts w:asciiTheme="majorHAnsi" w:hAnsiTheme="majorHAnsi" w:cstheme="majorHAnsi"/>
      <w:sz w:val="21"/>
      <w:szCs w:val="20"/>
    </w:rPr>
  </w:style>
  <w:style w:type="character" w:customStyle="1" w:styleId="SubBulletChar">
    <w:name w:val="Sub Bullet Char"/>
    <w:basedOn w:val="BulletListChar"/>
    <w:link w:val="SubBullet"/>
    <w:rsid w:val="00952044"/>
    <w:rPr>
      <w:rFonts w:asciiTheme="majorHAnsi" w:hAnsiTheme="majorHAnsi" w:cstheme="majorHAnsi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HR%20Brief\2020\HR_Brief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41F34-D14A-4726-812F-495E1BF6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HR_Brief-EB-2020-US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2020-02-06T19:02:00Z</dcterms:created>
  <dcterms:modified xsi:type="dcterms:W3CDTF">2020-02-06T19:02:00Z</dcterms:modified>
</cp:coreProperties>
</file>