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96300C" w:rsidRPr="00D001DF" w:rsidP="009C336C">
      <w:pPr>
        <w:pStyle w:val="Body"/>
      </w:pPr>
      <w:r w:rsidRPr="00D001DF">
        <w:drawing>
          <wp:anchor simplePos="0" relativeHeight="251658240" behindDoc="0" locked="1" layoutInCell="1" allowOverlap="1">
            <wp:simplePos x="0" y="0"/>
            <wp:positionH relativeFrom="margin">
              <wp:posOffset>317500</wp:posOffset>
            </wp:positionH>
            <wp:positionV relativeFrom="margin">
              <wp:posOffset>8039100</wp:posOffset>
            </wp:positionV>
            <wp:extent cx="1645923" cy="1120142"/>
            <wp:wrapNone/>
            <wp:docPr id="100022"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03387" name=""/>
                    <pic:cNvPicPr>
                      <a:picLocks noChangeAspect="1"/>
                    </pic:cNvPicPr>
                  </pic:nvPicPr>
                  <pic:blipFill>
                    <a:blip xmlns:r="http://schemas.openxmlformats.org/officeDocument/2006/relationships" r:embed="rId4"/>
                    <a:stretch>
                      <a:fillRect/>
                    </a:stretch>
                  </pic:blipFill>
                  <pic:spPr>
                    <a:xfrm>
                      <a:off x="0" y="0"/>
                      <a:ext cx="1645923" cy="1120142"/>
                    </a:xfrm>
                    <a:prstGeom prst="rect">
                      <a:avLst/>
                    </a:prstGeom>
                  </pic:spPr>
                </pic:pic>
              </a:graphicData>
            </a:graphic>
          </wp:anchor>
        </w:drawing>
      </w:r>
      <w:bookmarkStart w:id="0" w:name="_GoBack"/>
      <w:bookmarkEnd w:id="0"/>
      <w:r w:rsidRPr="00D001DF">
        <w:rPr>
          <w:noProof/>
        </w:rPr>
        <mc:AlternateContent>
          <mc:Choice Requires="wps">
            <w:drawing>
              <wp:anchor distT="0" distB="0" distL="114300" distR="114300" simplePos="0" relativeHeight="251660288" behindDoc="0" locked="0" layoutInCell="1" allowOverlap="1">
                <wp:simplePos x="0" y="0"/>
                <wp:positionH relativeFrom="margin">
                  <wp:posOffset>2157095</wp:posOffset>
                </wp:positionH>
                <wp:positionV relativeFrom="page">
                  <wp:posOffset>9020175</wp:posOffset>
                </wp:positionV>
                <wp:extent cx="2329815" cy="735965"/>
                <wp:effectExtent l="0" t="0" r="0" b="698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9815" cy="735965"/>
                        </a:xfrm>
                        <a:prstGeom prst="rect">
                          <a:avLst/>
                        </a:prstGeom>
                        <a:noFill/>
                        <a:ln w="6350">
                          <a:noFill/>
                        </a:ln>
                      </wps:spPr>
                      <wps:txbx>
                        <w:txbxContent>
                          <w:p w:rsidR="00CB25AA" w:rsidRPr="00C13860" w:rsidP="00F90E5E">
                            <w:pPr>
                              <w:spacing w:after="0" w:line="240" w:lineRule="auto"/>
                              <w:jc w:val="center"/>
                              <w:rPr>
                                <w:rFonts w:cstheme="minorHAnsi"/>
                                <w:sz w:val="20"/>
                                <w:szCs w:val="20"/>
                              </w:rPr>
                            </w:pPr>
                            <w:r w:rsidRPr="00C13860">
                              <w:rPr>
                                <w:rFonts w:cstheme="minorHAnsi"/>
                                <w:sz w:val="20"/>
                                <w:szCs w:val="20"/>
                              </w:rPr>
                              <w:t>Provided by</w:t>
                            </w:r>
                          </w:p>
                          <w:p w:rsidR="00CB25AA" w:rsidRPr="00C13860" w:rsidP="00F90E5E">
                            <w:pPr>
                              <w:spacing w:after="0" w:line="240" w:lineRule="auto"/>
                              <w:jc w:val="center"/>
                              <w:rPr>
                                <w:rFonts w:cstheme="minorHAnsi"/>
                                <w:sz w:val="20"/>
                                <w:szCs w:val="20"/>
                              </w:rPr>
                            </w:pPr>
                            <w:r w:rsidRPr="00C13860">
                              <w:rPr>
                                <w:rFonts w:cstheme="minorHAnsi"/>
                                <w:sz w:val="20"/>
                                <w:szCs w:val="20"/>
                              </w:rPr>
                              <w:t>The Richards Group</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5" type="#_x0000_t202" style="width:183.45pt;height:57.95pt;margin-top:710.25pt;margin-left:169.85pt;mso-height-percent:0;mso-height-relative:margin;mso-position-horizontal-relative:margin;mso-position-vertical-relative:page;mso-width-percent:0;mso-width-relative:margin;mso-wrap-distance-bottom:0;mso-wrap-distance-left:9pt;mso-wrap-distance-right:9pt;mso-wrap-distance-top:0;position:absolute;v-text-anchor:top;z-index:251659264" filled="f" fillcolor="this" stroked="f" strokeweight="0.5pt">
                <v:textbox>
                  <w:txbxContent>
                    <w:p w:rsidR="00CB25AA" w:rsidRPr="00C13860" w:rsidP="00F90E5E">
                      <w:pPr>
                        <w:spacing w:after="0" w:line="240" w:lineRule="auto"/>
                        <w:jc w:val="center"/>
                        <w:rPr>
                          <w:rFonts w:cstheme="minorHAnsi"/>
                          <w:sz w:val="20"/>
                          <w:szCs w:val="20"/>
                        </w:rPr>
                      </w:pPr>
                      <w:r w:rsidRPr="00C13860">
                        <w:rPr>
                          <w:rFonts w:cstheme="minorHAnsi"/>
                          <w:sz w:val="20"/>
                          <w:szCs w:val="20"/>
                        </w:rPr>
                        <w:t>Provided by</w:t>
                      </w:r>
                    </w:p>
                    <w:p w:rsidR="00CB25AA" w:rsidRPr="00C13860" w:rsidP="00F90E5E">
                      <w:pPr>
                        <w:spacing w:after="0" w:line="240" w:lineRule="auto"/>
                        <w:jc w:val="center"/>
                        <w:rPr>
                          <w:rFonts w:cstheme="minorHAnsi"/>
                          <w:sz w:val="20"/>
                          <w:szCs w:val="20"/>
                        </w:rPr>
                      </w:pPr>
                      <w:r w:rsidRPr="00C13860">
                        <w:rPr>
                          <w:rFonts w:cstheme="minorHAnsi"/>
                          <w:sz w:val="20"/>
                          <w:szCs w:val="20"/>
                        </w:rPr>
                        <w:t>The Richards Group</w:t>
                      </w:r>
                    </w:p>
                  </w:txbxContent>
                </v:textbox>
                <w10:wrap anchorx="margin"/>
              </v:shape>
            </w:pict>
          </mc:Fallback>
        </mc:AlternateContent>
      </w:r>
      <w:r w:rsidR="00317064">
        <w:rPr>
          <w:noProof/>
        </w:rPr>
        <mc:AlternateContent>
          <mc:Choice Requires="wps">
            <w:drawing>
              <wp:anchor distT="0" distB="0" distL="114300" distR="114300" simplePos="0" relativeHeight="251673600" behindDoc="0" locked="0" layoutInCell="1" allowOverlap="1">
                <wp:simplePos x="0" y="0"/>
                <wp:positionH relativeFrom="margin">
                  <wp:posOffset>2322195</wp:posOffset>
                </wp:positionH>
                <wp:positionV relativeFrom="paragraph">
                  <wp:posOffset>3553460</wp:posOffset>
                </wp:positionV>
                <wp:extent cx="2133600" cy="400050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3600" cy="4000500"/>
                        </a:xfrm>
                        <a:prstGeom prst="rect">
                          <a:avLst/>
                        </a:prstGeom>
                        <a:noFill/>
                        <a:ln w="6350">
                          <a:noFill/>
                        </a:ln>
                      </wps:spPr>
                      <wps:txbx>
                        <w:txbxContent>
                          <w:p w:rsidR="00317064" w:rsidRPr="00317064" w:rsidP="00317064">
                            <w:pPr>
                              <w:pStyle w:val="Body"/>
                            </w:pPr>
                            <w:r w:rsidRPr="00317064">
                              <w:t>The charges listed would include “the gross charges, payer-specific negotiated charges, the amount the hospital is willing to accept in cash from a patient, and the minimum and maximum negotiated charges,” according to the release.</w:t>
                            </w:r>
                          </w:p>
                          <w:p w:rsidR="00317064" w:rsidRPr="00317064" w:rsidP="00317064">
                            <w:pPr>
                              <w:pStyle w:val="Body"/>
                            </w:pPr>
                            <w:r w:rsidRPr="00317064">
                              <w:t>As part of the final rule, CMS was granted more authority over enforcement. Specifically, the department has greater capability to audit hospitals and issue fines of $300 per day to those who are noncompliant.</w:t>
                            </w:r>
                          </w:p>
                          <w:p w:rsidR="00317064" w:rsidRPr="00317064" w:rsidP="00317064">
                            <w:pPr>
                              <w:pStyle w:val="2Header"/>
                              <w:rPr>
                                <w:lang w:val="en-GB"/>
                              </w:rPr>
                            </w:pPr>
                            <w:r w:rsidRPr="00317064">
                              <w:rPr>
                                <w:lang w:val="en-GB"/>
                              </w:rPr>
                              <w:t>What’s next?</w:t>
                            </w:r>
                          </w:p>
                          <w:p w:rsidR="009C336C" w:rsidP="00317064">
                            <w:pPr>
                              <w:pStyle w:val="Body"/>
                            </w:pPr>
                            <w:r w:rsidRPr="00317064">
                              <w:t>The rule won’t be effective until January 2021. In that time, hospitals will be working to make the applicable data available online, if it isn’t already.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 o:spid="_x0000_s1026" type="#_x0000_t202" style="width:168pt;height:315pt;margin-top:279.8pt;margin-left:182.85pt;mso-height-percent:0;mso-height-relative:margin;mso-position-horizontal-relative:margin;mso-width-percent:0;mso-width-relative:margin;mso-wrap-distance-bottom:0;mso-wrap-distance-left:9pt;mso-wrap-distance-right:9pt;mso-wrap-distance-top:0;mso-wrap-style:square;position:absolute;visibility:visible;v-text-anchor:top;z-index:251674624" filled="f" stroked="f" strokeweight="0.5pt">
                <v:textbox inset="0,,0">
                  <w:txbxContent>
                    <w:p w:rsidR="00317064" w:rsidRPr="00317064" w:rsidP="00317064">
                      <w:pPr>
                        <w:pStyle w:val="Body"/>
                      </w:pPr>
                      <w:r w:rsidRPr="00317064">
                        <w:t>The charges listed would include “the gross charges, payer-specific negotiated charges, the amount the hospital is willing to accept in cash from a patient, and the minimum and maximum negotiated charges,” according to the release.</w:t>
                      </w:r>
                    </w:p>
                    <w:p w:rsidR="00317064" w:rsidRPr="00317064" w:rsidP="00317064">
                      <w:pPr>
                        <w:pStyle w:val="Body"/>
                      </w:pPr>
                      <w:r w:rsidRPr="00317064">
                        <w:t>As part of the final rule, CMS was granted more authority over enforcement. Specifically, the department has greater capability to audit hospitals and issue fines of $300 per day to those who are noncompliant.</w:t>
                      </w:r>
                    </w:p>
                    <w:p w:rsidR="00317064" w:rsidRPr="00317064" w:rsidP="00317064">
                      <w:pPr>
                        <w:pStyle w:val="2Header"/>
                        <w:rPr>
                          <w:lang w:val="en-GB"/>
                        </w:rPr>
                      </w:pPr>
                      <w:r w:rsidRPr="00317064">
                        <w:rPr>
                          <w:lang w:val="en-GB"/>
                        </w:rPr>
                        <w:t>What’s next?</w:t>
                      </w:r>
                    </w:p>
                    <w:p w:rsidR="009C336C" w:rsidP="00317064">
                      <w:pPr>
                        <w:pStyle w:val="Body"/>
                      </w:pPr>
                      <w:r w:rsidRPr="00317064">
                        <w:t>The rule won’t be effective until January 2021. In that time, hospitals will be working to make the applicable data available online, if it isn’t already.</w:t>
                      </w:r>
                    </w:p>
                  </w:txbxContent>
                </v:textbox>
                <w10:wrap anchorx="margin"/>
              </v:shape>
            </w:pict>
          </mc:Fallback>
        </mc:AlternateContent>
      </w:r>
      <w:r w:rsidR="00317064">
        <w:rPr>
          <w:noProof/>
        </w:rPr>
        <mc:AlternateContent>
          <mc:Choice Requires="wps">
            <w:drawing>
              <wp:anchor distT="0" distB="0" distL="114300" distR="114300" simplePos="0" relativeHeight="251669504" behindDoc="0" locked="0" layoutInCell="1" allowOverlap="1">
                <wp:simplePos x="0" y="0"/>
                <wp:positionH relativeFrom="margin">
                  <wp:posOffset>-1905</wp:posOffset>
                </wp:positionH>
                <wp:positionV relativeFrom="paragraph">
                  <wp:posOffset>3572510</wp:posOffset>
                </wp:positionV>
                <wp:extent cx="2159000" cy="4057650"/>
                <wp:effectExtent l="0" t="0" r="1270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9000" cy="4057650"/>
                        </a:xfrm>
                        <a:prstGeom prst="rect">
                          <a:avLst/>
                        </a:prstGeom>
                        <a:noFill/>
                        <a:ln w="6350">
                          <a:noFill/>
                        </a:ln>
                      </wps:spPr>
                      <wps:txbx>
                        <w:txbxContent>
                          <w:p w:rsidR="005617BE" w:rsidRPr="005617BE" w:rsidP="005617BE">
                            <w:pPr>
                              <w:pStyle w:val="Body"/>
                            </w:pPr>
                            <w:r w:rsidRPr="005617BE">
                              <w:t xml:space="preserve">On Friday, Nov. 15, 2019, the Trump administration released its </w:t>
                            </w:r>
                            <w:r>
                              <w:fldChar w:fldCharType="begin"/>
                            </w:r>
                            <w:r>
                              <w:instrText xml:space="preserve"> HYPERLINK "https://www.hhs.gov/about/news/2019/11/15/trump-administration-announces-historic-price-transparency-and-lower-healthcare-costs-for-all-americans.html" </w:instrText>
                            </w:r>
                            <w:r>
                              <w:fldChar w:fldCharType="separate"/>
                            </w:r>
                            <w:r w:rsidRPr="005617BE">
                              <w:rPr>
                                <w:rStyle w:val="Hyperlink"/>
                              </w:rPr>
                              <w:t>final rule</w:t>
                            </w:r>
                            <w:r>
                              <w:fldChar w:fldCharType="end"/>
                            </w:r>
                            <w:r w:rsidRPr="005617BE">
                              <w:t xml:space="preserve"> regarding hospital price transparency. This final rule will take effect Jan. 1, 2021, a year later than originally proposed.</w:t>
                            </w:r>
                          </w:p>
                          <w:p w:rsidR="005617BE" w:rsidRPr="005617BE" w:rsidP="005617BE">
                            <w:pPr>
                              <w:pStyle w:val="Body"/>
                            </w:pPr>
                            <w:r w:rsidRPr="005617BE">
                              <w:t>The Centers for Medicare and Medicaid Services (CMS) had been listening to feedback on a</w:t>
                            </w:r>
                            <w:r w:rsidR="00317064">
                              <w:t xml:space="preserve"> </w:t>
                            </w:r>
                            <w:r>
                              <w:fldChar w:fldCharType="begin"/>
                            </w:r>
                            <w:r>
                              <w:instrText xml:space="preserve"> HYPERLINK "https://www.cms.gov/newsroom/fact-sheets/cy-2020-medicare-hospital-outpatient-prospective-payment-system-and-ambulatory-surgical-center" </w:instrText>
                            </w:r>
                            <w:r>
                              <w:fldChar w:fldCharType="separate"/>
                            </w:r>
                            <w:r w:rsidRPr="00317064" w:rsidR="00317064">
                              <w:rPr>
                                <w:rStyle w:val="Hyperlink"/>
                              </w:rPr>
                              <w:t>proposed version</w:t>
                            </w:r>
                            <w:r>
                              <w:fldChar w:fldCharType="end"/>
                            </w:r>
                            <w:r w:rsidRPr="005617BE">
                              <w:t xml:space="preserve"> of the rule for the past four months, culminating in this latest update.</w:t>
                            </w:r>
                          </w:p>
                          <w:p w:rsidR="005617BE" w:rsidRPr="005617BE" w:rsidP="00317064">
                            <w:pPr>
                              <w:pStyle w:val="2Header"/>
                              <w:rPr>
                                <w:lang w:val="en-GB"/>
                              </w:rPr>
                            </w:pPr>
                            <w:r w:rsidRPr="005617BE">
                              <w:rPr>
                                <w:lang w:val="en-GB"/>
                              </w:rPr>
                              <w:t>What’s included in the final rule?</w:t>
                            </w:r>
                          </w:p>
                          <w:p w:rsidR="00317064" w:rsidRPr="00317064" w:rsidP="00317064">
                            <w:pPr>
                              <w:pStyle w:val="Body"/>
                            </w:pPr>
                            <w:r w:rsidRPr="005617BE">
                              <w:t xml:space="preserve">Hospitals will now be required to provide easily accessible billing information to patients. This means having all standard charges available online and in one single data file that can be “read by other computer </w:t>
                            </w:r>
                            <w:r w:rsidRPr="00317064">
                              <w:t>systems,” according to a CMS press release.</w:t>
                            </w:r>
                          </w:p>
                          <w:p w:rsidR="009C336C" w:rsidP="005617BE">
                            <w:pPr>
                              <w:pStyle w:val="Body"/>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width:170pt;height:319.5pt;margin-top:281.3pt;margin-left:-0.15pt;mso-height-percent:0;mso-height-relative:margin;mso-position-horizontal-relative:margin;mso-width-percent:0;mso-width-relative:margin;mso-wrap-distance-bottom:0;mso-wrap-distance-left:9pt;mso-wrap-distance-right:9pt;mso-wrap-distance-top:0;mso-wrap-style:square;position:absolute;visibility:visible;v-text-anchor:top;z-index:251670528" filled="f" stroked="f" strokeweight="0.5pt">
                <v:textbox inset="0,,0">
                  <w:txbxContent>
                    <w:p w:rsidR="005617BE" w:rsidRPr="005617BE" w:rsidP="005617BE">
                      <w:pPr>
                        <w:pStyle w:val="Body"/>
                      </w:pPr>
                      <w:r w:rsidRPr="005617BE">
                        <w:t xml:space="preserve">On Friday, Nov. 15, 2019, the Trump administration released its </w:t>
                      </w:r>
                      <w:r>
                        <w:fldChar w:fldCharType="begin"/>
                      </w:r>
                      <w:r>
                        <w:instrText xml:space="preserve"> HYPERLINK "https://www.hhs.gov/about/news/2019/11/15/trump-administration-announces-historic-price-transparency-and-lower-healthcare-costs-for-all-americans.html" </w:instrText>
                      </w:r>
                      <w:r>
                        <w:fldChar w:fldCharType="separate"/>
                      </w:r>
                      <w:r w:rsidRPr="005617BE">
                        <w:rPr>
                          <w:rStyle w:val="Hyperlink"/>
                        </w:rPr>
                        <w:t>fi</w:t>
                      </w:r>
                      <w:r w:rsidRPr="005617BE">
                        <w:rPr>
                          <w:rStyle w:val="Hyperlink"/>
                        </w:rPr>
                        <w:t>n</w:t>
                      </w:r>
                      <w:r w:rsidRPr="005617BE">
                        <w:rPr>
                          <w:rStyle w:val="Hyperlink"/>
                        </w:rPr>
                        <w:t>al rule</w:t>
                      </w:r>
                      <w:r>
                        <w:fldChar w:fldCharType="end"/>
                      </w:r>
                      <w:r w:rsidRPr="005617BE">
                        <w:t xml:space="preserve"> regarding hospital price transparency. This final rule will take effect Jan. 1, 2021, a year later than originally proposed.</w:t>
                      </w:r>
                    </w:p>
                    <w:p w:rsidR="005617BE" w:rsidRPr="005617BE" w:rsidP="005617BE">
                      <w:pPr>
                        <w:pStyle w:val="Body"/>
                      </w:pPr>
                      <w:r w:rsidRPr="005617BE">
                        <w:t>The Centers for Medicare and Medicaid Services (CMS) had been listening to feedback on a</w:t>
                      </w:r>
                      <w:r w:rsidR="00317064">
                        <w:t xml:space="preserve"> </w:t>
                      </w:r>
                      <w:r>
                        <w:fldChar w:fldCharType="begin"/>
                      </w:r>
                      <w:r>
                        <w:instrText xml:space="preserve"> HYPERLINK "https://www.cms.gov/newsroom/fact-sheets/cy-2020-medicare-hospital-outpatient-prospective-payment-system-and-ambulatory-surgical-center" </w:instrText>
                      </w:r>
                      <w:r>
                        <w:fldChar w:fldCharType="separate"/>
                      </w:r>
                      <w:r w:rsidRPr="00317064" w:rsidR="00317064">
                        <w:rPr>
                          <w:rStyle w:val="Hyperlink"/>
                        </w:rPr>
                        <w:t>pr</w:t>
                      </w:r>
                      <w:r w:rsidRPr="00317064" w:rsidR="00317064">
                        <w:rPr>
                          <w:rStyle w:val="Hyperlink"/>
                        </w:rPr>
                        <w:t>o</w:t>
                      </w:r>
                      <w:r w:rsidRPr="00317064" w:rsidR="00317064">
                        <w:rPr>
                          <w:rStyle w:val="Hyperlink"/>
                        </w:rPr>
                        <w:t>posed version</w:t>
                      </w:r>
                      <w:r>
                        <w:fldChar w:fldCharType="end"/>
                      </w:r>
                      <w:r w:rsidRPr="005617BE">
                        <w:t xml:space="preserve"> of the rule for the past four months, culminating in this latest update.</w:t>
                      </w:r>
                    </w:p>
                    <w:p w:rsidR="005617BE" w:rsidRPr="005617BE" w:rsidP="00317064">
                      <w:pPr>
                        <w:pStyle w:val="2Header"/>
                        <w:rPr>
                          <w:lang w:val="en-GB"/>
                        </w:rPr>
                      </w:pPr>
                      <w:r w:rsidRPr="005617BE">
                        <w:rPr>
                          <w:lang w:val="en-GB"/>
                        </w:rPr>
                        <w:t>What’s included in the final rule?</w:t>
                      </w:r>
                    </w:p>
                    <w:p w:rsidR="00317064" w:rsidRPr="00317064" w:rsidP="00317064">
                      <w:pPr>
                        <w:pStyle w:val="Body"/>
                      </w:pPr>
                      <w:r w:rsidRPr="005617BE">
                        <w:t xml:space="preserve">Hospitals will now be required to provide easily accessible billing information to patients. This means having all standard charges available online and in one single data file that can be “read by other computer </w:t>
                      </w:r>
                      <w:r w:rsidRPr="00317064">
                        <w:t>systems,” according to a CMS press release.</w:t>
                      </w:r>
                    </w:p>
                    <w:p w:rsidR="009C336C" w:rsidP="005617BE">
                      <w:pPr>
                        <w:pStyle w:val="Body"/>
                      </w:pPr>
                    </w:p>
                  </w:txbxContent>
                </v:textbox>
                <w10:wrap anchorx="margin"/>
              </v:shape>
            </w:pict>
          </mc:Fallback>
        </mc:AlternateContent>
      </w:r>
      <w:r w:rsidR="005617BE">
        <w:rPr>
          <w:noProof/>
        </w:rPr>
        <mc:AlternateContent>
          <mc:Choice Requires="wps">
            <w:drawing>
              <wp:anchor distT="0" distB="0" distL="114300" distR="114300" simplePos="0" relativeHeight="251671552" behindDoc="0" locked="0" layoutInCell="1" allowOverlap="1">
                <wp:simplePos x="0" y="0"/>
                <wp:positionH relativeFrom="margin">
                  <wp:posOffset>-1905</wp:posOffset>
                </wp:positionH>
                <wp:positionV relativeFrom="paragraph">
                  <wp:posOffset>3058160</wp:posOffset>
                </wp:positionV>
                <wp:extent cx="4616450" cy="578485"/>
                <wp:effectExtent l="0" t="0" r="1270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4616450" cy="578485"/>
                        </a:xfrm>
                        <a:prstGeom prst="rect">
                          <a:avLst/>
                        </a:prstGeom>
                        <a:noFill/>
                        <a:ln w="6350">
                          <a:noFill/>
                        </a:ln>
                      </wps:spPr>
                      <wps:txbx>
                        <w:txbxContent>
                          <w:p w:rsidR="009C336C" w:rsidP="009C336C">
                            <w:pPr>
                              <w:pStyle w:val="1Header"/>
                            </w:pPr>
                            <w:r>
                              <w:t>Final Rule on Hospital Price Transparency Released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width:363.5pt;height:45.55pt;margin-top:240.8pt;margin-left:-0.15pt;mso-height-percent:0;mso-height-relative:margin;mso-position-horizontal-relative:margin;mso-width-percent:0;mso-width-relative:margin;mso-wrap-distance-bottom:0;mso-wrap-distance-left:9pt;mso-wrap-distance-right:9pt;mso-wrap-distance-top:0;mso-wrap-style:square;position:absolute;visibility:visible;v-text-anchor:top;z-index:251672576" filled="f" stroked="f" strokeweight="0.5pt">
                <v:textbox inset="0,,0">
                  <w:txbxContent>
                    <w:p w:rsidR="009C336C" w:rsidP="009C336C">
                      <w:pPr>
                        <w:pStyle w:val="1Header"/>
                      </w:pPr>
                      <w:r>
                        <w:t>Final Rule on Hospital Price Transparency Released</w:t>
                      </w:r>
                    </w:p>
                  </w:txbxContent>
                </v:textbox>
                <w10:wrap anchorx="margin"/>
              </v:shape>
            </w:pict>
          </mc:Fallback>
        </mc:AlternateContent>
      </w:r>
      <w:r w:rsidR="00C13860">
        <w:rPr>
          <w:noProof/>
        </w:rPr>
        <mc:AlternateContent>
          <mc:Choice Requires="wps">
            <w:drawing>
              <wp:anchor distT="0" distB="0" distL="114300" distR="114300" simplePos="0" relativeHeight="251663360" behindDoc="0" locked="0" layoutInCell="1" allowOverlap="1">
                <wp:simplePos x="0" y="0"/>
                <wp:positionH relativeFrom="margin">
                  <wp:posOffset>-1905</wp:posOffset>
                </wp:positionH>
                <wp:positionV relativeFrom="paragraph">
                  <wp:posOffset>162560</wp:posOffset>
                </wp:positionV>
                <wp:extent cx="2105025" cy="3001010"/>
                <wp:effectExtent l="0" t="0" r="9525"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05025" cy="3001010"/>
                        </a:xfrm>
                        <a:prstGeom prst="rect">
                          <a:avLst/>
                        </a:prstGeom>
                        <a:noFill/>
                        <a:ln w="6350">
                          <a:noFill/>
                        </a:ln>
                      </wps:spPr>
                      <wps:txbx>
                        <w:txbxContent>
                          <w:p w:rsidR="005617BE" w:rsidRPr="005617BE" w:rsidP="005617BE">
                            <w:pPr>
                              <w:spacing w:line="252" w:lineRule="auto"/>
                            </w:pPr>
                            <w:r w:rsidRPr="005617BE">
                              <w:t xml:space="preserve">Recently, the Departments of Labor (DOL) and Health and Human Services (HHS) issued an </w:t>
                            </w:r>
                            <w:r>
                              <w:fldChar w:fldCharType="begin"/>
                            </w:r>
                            <w:r>
                              <w:instrText xml:space="preserve"> HYPERLINK "https://www.cms.gov/cciio/Resources/forms-reports-and-other-resources/index.html" \l "Summary%20of%20Benefits%20and%20Coverage%20and%20Uniform%20Glossary" </w:instrText>
                            </w:r>
                            <w:r>
                              <w:fldChar w:fldCharType="separate"/>
                            </w:r>
                            <w:r w:rsidRPr="005617BE">
                              <w:rPr>
                                <w:rStyle w:val="Hyperlink"/>
                              </w:rPr>
                              <w:t>updated template and related materials</w:t>
                            </w:r>
                            <w:r>
                              <w:fldChar w:fldCharType="end"/>
                            </w:r>
                            <w:r w:rsidRPr="005617BE">
                              <w:t xml:space="preserve"> for the summary of benefits and coverage (SBC). These materials are required to be used for plan years beginning on or after Jan. 1, 2021. This means that the updated template must be used for the 2021 plan year’s open enrollment period.</w:t>
                            </w:r>
                          </w:p>
                          <w:p w:rsidR="005617BE" w:rsidRPr="005617BE" w:rsidP="005617BE">
                            <w:pPr>
                              <w:spacing w:line="252" w:lineRule="auto"/>
                            </w:pPr>
                            <w:r w:rsidRPr="005617BE">
                              <w:t>The SBC is a concise document providing simple and consistent information about health plan benefits and coverage</w:t>
                            </w:r>
                            <w:r>
                              <w:t>.</w:t>
                            </w:r>
                          </w:p>
                          <w:p w:rsidR="00C13860" w:rsidP="00C13860">
                            <w:pPr>
                              <w:spacing w:line="252" w:lineRule="auto"/>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width:165.75pt;height:236.3pt;margin-top:12.8pt;margin-left:-0.15pt;mso-height-percent:0;mso-height-relative:margin;mso-position-horizontal-relative:margin;mso-width-percent:0;mso-width-relative:margin;mso-wrap-distance-bottom:0;mso-wrap-distance-left:9pt;mso-wrap-distance-right:9pt;mso-wrap-distance-top:0;mso-wrap-style:square;position:absolute;visibility:visible;v-text-anchor:top;z-index:251664384" filled="f" stroked="f" strokeweight="0.5pt">
                <v:textbox inset="0,,0">
                  <w:txbxContent>
                    <w:p w:rsidR="005617BE" w:rsidRPr="005617BE" w:rsidP="005617BE">
                      <w:pPr>
                        <w:spacing w:line="252" w:lineRule="auto"/>
                      </w:pPr>
                      <w:r w:rsidRPr="005617BE">
                        <w:t xml:space="preserve">Recently, the Departments of Labor (DOL) and Health and Human Services (HHS) issued an </w:t>
                      </w:r>
                      <w:r>
                        <w:fldChar w:fldCharType="begin"/>
                      </w:r>
                      <w:r>
                        <w:instrText xml:space="preserve"> HYPERLINK "https://www.cms.gov/cciio/Resources/forms-reports-and-other-resources/index.html" \l "Summary%20of%20Benefits%20and%20Coverage%20and%20Uniform%20Glossary" </w:instrText>
                      </w:r>
                      <w:r>
                        <w:fldChar w:fldCharType="separate"/>
                      </w:r>
                      <w:r w:rsidRPr="005617BE">
                        <w:rPr>
                          <w:rStyle w:val="Hyperlink"/>
                        </w:rPr>
                        <w:t>updated template and re</w:t>
                      </w:r>
                      <w:r w:rsidRPr="005617BE">
                        <w:rPr>
                          <w:rStyle w:val="Hyperlink"/>
                        </w:rPr>
                        <w:t>l</w:t>
                      </w:r>
                      <w:r w:rsidRPr="005617BE">
                        <w:rPr>
                          <w:rStyle w:val="Hyperlink"/>
                        </w:rPr>
                        <w:t>ated materials</w:t>
                      </w:r>
                      <w:r>
                        <w:fldChar w:fldCharType="end"/>
                      </w:r>
                      <w:r w:rsidRPr="005617BE">
                        <w:t xml:space="preserve"> for the summary of benefits and coverage (SBC). These materials are required to be used for plan years beginning on or after Jan. 1, 2021. This means that the updated template must be used for the 2021 plan year’s open enrollment period.</w:t>
                      </w:r>
                    </w:p>
                    <w:p w:rsidR="005617BE" w:rsidRPr="005617BE" w:rsidP="005617BE">
                      <w:pPr>
                        <w:spacing w:line="252" w:lineRule="auto"/>
                      </w:pPr>
                      <w:r w:rsidRPr="005617BE">
                        <w:t>The SBC is a concise document providing simple and consistent information about health plan benefits and coverage</w:t>
                      </w:r>
                      <w:r>
                        <w:t>.</w:t>
                      </w:r>
                    </w:p>
                    <w:p w:rsidR="00C13860" w:rsidP="00C13860">
                      <w:pPr>
                        <w:spacing w:line="252" w:lineRule="auto"/>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2322195</wp:posOffset>
                </wp:positionH>
                <wp:positionV relativeFrom="paragraph">
                  <wp:posOffset>162560</wp:posOffset>
                </wp:positionV>
                <wp:extent cx="2133600" cy="2992120"/>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3600" cy="2992120"/>
                        </a:xfrm>
                        <a:prstGeom prst="rect">
                          <a:avLst/>
                        </a:prstGeom>
                        <a:noFill/>
                        <a:ln w="6350">
                          <a:noFill/>
                        </a:ln>
                      </wps:spPr>
                      <wps:txbx>
                        <w:txbxContent>
                          <w:p w:rsidR="005617BE" w:rsidRPr="005617BE" w:rsidP="005617BE">
                            <w:pPr>
                              <w:pStyle w:val="Body"/>
                              <w:spacing w:after="120"/>
                            </w:pPr>
                            <w:r w:rsidRPr="005617BE">
                              <w:t>Employers should prepare to use the new SBC template and related materials for the 2021 plan year. Prior to the beginning of the 2021 plan year:</w:t>
                            </w:r>
                          </w:p>
                          <w:p w:rsidR="005617BE" w:rsidRPr="005617BE" w:rsidP="005617BE">
                            <w:pPr>
                              <w:pStyle w:val="BulletList"/>
                            </w:pPr>
                            <w:r w:rsidRPr="005617BE">
                              <w:t xml:space="preserve">Self-funded plan sponsors should ensure that they </w:t>
                            </w:r>
                            <w:r>
                              <w:t>use</w:t>
                            </w:r>
                            <w:r w:rsidRPr="005617BE">
                              <w:t xml:space="preserve"> the new template.</w:t>
                            </w:r>
                          </w:p>
                          <w:p w:rsidR="005617BE" w:rsidRPr="005617BE" w:rsidP="005617BE">
                            <w:pPr>
                              <w:pStyle w:val="BulletList"/>
                            </w:pPr>
                            <w:r w:rsidRPr="005617BE">
                              <w:t>Employers with insured plans should make sure the carrier is providing the correct version of the template.</w:t>
                            </w:r>
                          </w:p>
                          <w:p w:rsidR="00C13860" w:rsidP="005617BE">
                            <w:pPr>
                              <w:pStyle w:val="BulletList"/>
                              <w:numPr>
                                <w:ilvl w:val="0"/>
                                <w:numId w:val="0"/>
                              </w:numPr>
                              <w:ind w:left="86"/>
                            </w:pPr>
                            <w:r>
                              <w:t xml:space="preserve">For more information, contact </w:t>
                            </w:r>
                            <w:r>
                              <w:t>The Richards Group</w:t>
                            </w:r>
                            <w:r>
                              <w:t xml:space="preserve"> today.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width:168pt;height:235.6pt;margin-top:12.8pt;margin-left:182.85pt;mso-height-percent:0;mso-height-relative:margin;mso-position-horizontal-relative:margin;mso-width-percent:0;mso-width-relative:margin;mso-wrap-distance-bottom:0;mso-wrap-distance-left:9pt;mso-wrap-distance-right:9pt;mso-wrap-distance-top:0;position:absolute;v-text-anchor:top;z-index:251667456" filled="f" fillcolor="this" stroked="f" strokeweight="0.5pt">
                <v:textbox inset="0,,0">
                  <w:txbxContent>
                    <w:p w:rsidR="005617BE" w:rsidRPr="005617BE" w:rsidP="005617BE">
                      <w:pPr>
                        <w:pStyle w:val="Body"/>
                        <w:spacing w:after="120"/>
                      </w:pPr>
                      <w:r w:rsidRPr="005617BE">
                        <w:t>Employers should prepare to use the new SBC template and related materials for the 2021 plan year. Prior to the beginning of the 2021 plan year:</w:t>
                      </w:r>
                    </w:p>
                    <w:p w:rsidR="005617BE" w:rsidRPr="005617BE" w:rsidP="005617BE">
                      <w:pPr>
                        <w:pStyle w:val="BulletList"/>
                      </w:pPr>
                      <w:r w:rsidRPr="005617BE">
                        <w:t xml:space="preserve">Self-funded plan sponsors should ensure that they </w:t>
                      </w:r>
                      <w:r>
                        <w:t>use</w:t>
                      </w:r>
                      <w:r w:rsidRPr="005617BE">
                        <w:t xml:space="preserve"> the new template.</w:t>
                      </w:r>
                    </w:p>
                    <w:p w:rsidR="005617BE" w:rsidRPr="005617BE" w:rsidP="005617BE">
                      <w:pPr>
                        <w:pStyle w:val="BulletList"/>
                      </w:pPr>
                      <w:r w:rsidRPr="005617BE">
                        <w:t>Employers with insured plans should make sure the carrier is providing the correct version of the template.</w:t>
                      </w:r>
                    </w:p>
                    <w:p w:rsidR="00C13860" w:rsidP="005617BE">
                      <w:pPr>
                        <w:pStyle w:val="BulletList"/>
                        <w:numPr>
                          <w:ilvl w:val="0"/>
                          <w:numId w:val="0"/>
                        </w:numPr>
                        <w:ind w:left="86"/>
                      </w:pPr>
                      <w:r>
                        <w:t xml:space="preserve">For more information, contact </w:t>
                      </w:r>
                      <w:r>
                        <w:t>The Richards Group</w:t>
                      </w:r>
                      <w:r>
                        <w:t xml:space="preserve"> today.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-1905</wp:posOffset>
                </wp:positionH>
                <wp:positionV relativeFrom="paragraph">
                  <wp:posOffset>-351790</wp:posOffset>
                </wp:positionV>
                <wp:extent cx="4646295" cy="628650"/>
                <wp:effectExtent l="0" t="0" r="1905"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646295" cy="628650"/>
                        </a:xfrm>
                        <a:prstGeom prst="rect">
                          <a:avLst/>
                        </a:prstGeom>
                        <a:noFill/>
                        <a:ln w="6350">
                          <a:noFill/>
                        </a:ln>
                      </wps:spPr>
                      <wps:txbx>
                        <w:txbxContent>
                          <w:p w:rsidR="009C336C" w:rsidP="009C336C">
                            <w:pPr>
                              <w:pStyle w:val="1Header"/>
                            </w:pPr>
                            <w:r>
                              <w:t>New Summary</w:t>
                            </w:r>
                            <w:r w:rsidR="005617BE">
                              <w:t xml:space="preserve"> of Benefits and Coverage Template Will Be Required for 2021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width:365.85pt;height:49.5pt;margin-top:-27.7pt;margin-left:-0.15pt;mso-height-percent:0;mso-height-relative:margin;mso-position-horizontal-relative:margin;mso-width-percent:0;mso-width-relative:margin;mso-wrap-distance-bottom:0;mso-wrap-distance-left:9pt;mso-wrap-distance-right:9pt;mso-wrap-distance-top:0;mso-wrap-style:square;position:absolute;visibility:visible;v-text-anchor:top;z-index:251666432" filled="f" stroked="f" strokeweight="0.5pt">
                <v:textbox inset="0,,0">
                  <w:txbxContent>
                    <w:p w:rsidR="009C336C" w:rsidP="009C336C">
                      <w:pPr>
                        <w:pStyle w:val="1Header"/>
                      </w:pPr>
                      <w:r>
                        <w:t>New Summary</w:t>
                      </w:r>
                      <w:r w:rsidR="005617BE">
                        <w:t xml:space="preserve"> of Benefits and Coverage Template Will Be Required for 2021</w:t>
                      </w:r>
                    </w:p>
                  </w:txbxContent>
                </v:textbox>
                <w10:wrap anchorx="margin"/>
              </v:shape>
            </w:pict>
          </mc:Fallback>
        </mc:AlternateContent>
      </w:r>
      <w:r w:rsidR="00A1062C">
        <w:rPr>
          <w:noProof/>
        </w:rPr>
        <mc:AlternateContent>
          <mc:Choice Requires="wps">
            <w:drawing>
              <wp:anchor distT="0" distB="0" distL="114300" distR="114300" simplePos="0" relativeHeight="251675648" behindDoc="0" locked="0" layoutInCell="1" allowOverlap="1">
                <wp:simplePos x="0" y="0"/>
                <wp:positionH relativeFrom="margin">
                  <wp:posOffset>-2277961</wp:posOffset>
                </wp:positionH>
                <wp:positionV relativeFrom="page">
                  <wp:posOffset>4506686</wp:posOffset>
                </wp:positionV>
                <wp:extent cx="2705100" cy="487045"/>
                <wp:effectExtent l="4127" t="14923" r="4128" b="4127"/>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rot="16200000">
                          <a:off x="0" y="0"/>
                          <a:ext cx="2705100" cy="487045"/>
                        </a:xfrm>
                        <a:prstGeom prst="rect">
                          <a:avLst/>
                        </a:prstGeom>
                        <a:noFill/>
                        <a:ln w="6350">
                          <a:noFill/>
                        </a:ln>
                      </wps:spPr>
                      <wps:txbx>
                        <w:txbxContent>
                          <w:p w:rsidR="00A1062C" w:rsidRPr="00A1062C" w:rsidP="00A1062C">
                            <w:pPr>
                              <w:pStyle w:val="Header"/>
                              <w:jc w:val="center"/>
                              <w:rPr>
                                <w:b/>
                                <w:color w:val="FFFFFF" w:themeColor="background1"/>
                                <w:sz w:val="36"/>
                                <w:szCs w:val="36"/>
                              </w:rPr>
                            </w:pPr>
                            <w:r>
                              <w:fldChar w:fldCharType="begin"/>
                            </w:r>
                            <w:r>
                              <w:instrText xml:space="preserve"> HYPERLINK "https://www.govinfo.gov/content/pkg/FR-2019-01-24/pdf/2019-00077.pdf" </w:instrText>
                            </w:r>
                            <w:r>
                              <w:fldChar w:fldCharType="separate"/>
                            </w:r>
                            <w:r w:rsidR="00C13860">
                              <w:rPr>
                                <w:b/>
                                <w:color w:val="FFFFFF" w:themeColor="background1"/>
                                <w:sz w:val="36"/>
                                <w:szCs w:val="36"/>
                              </w:rPr>
                              <w:t>JANUARY</w:t>
                            </w:r>
                            <w:r>
                              <w:fldChar w:fldCharType="end"/>
                            </w:r>
                            <w:r w:rsidRPr="00A1062C">
                              <w:rPr>
                                <w:b/>
                                <w:color w:val="FFFFFF" w:themeColor="background1"/>
                                <w:sz w:val="36"/>
                                <w:szCs w:val="36"/>
                              </w:rPr>
                              <w:t xml:space="preserve"> 2020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width:213pt;height:38.35pt;margin-top:354.85pt;margin-left:-179.35pt;mso-height-percent:0;mso-height-relative:margin;mso-position-horizontal-relative:margin;mso-position-vertical-relative:page;mso-width-percent:0;mso-width-relative:margin;mso-wrap-distance-bottom:0;mso-wrap-distance-left:9pt;mso-wrap-distance-right:9pt;mso-wrap-distance-top:0;mso-wrap-style:square;position:absolute;rotation:-90;visibility:visible;v-text-anchor:top;z-index:251676672" filled="f" stroked="f" strokeweight="0.5pt">
                <v:textbox inset="0,,0">
                  <w:txbxContent>
                    <w:p w:rsidR="00A1062C" w:rsidRPr="00A1062C" w:rsidP="00A1062C">
                      <w:pPr>
                        <w:pStyle w:val="Header"/>
                        <w:jc w:val="center"/>
                        <w:rPr>
                          <w:b/>
                          <w:color w:val="FFFFFF" w:themeColor="background1"/>
                          <w:sz w:val="36"/>
                          <w:szCs w:val="36"/>
                        </w:rPr>
                      </w:pPr>
                      <w:r>
                        <w:fldChar w:fldCharType="begin"/>
                      </w:r>
                      <w:r>
                        <w:instrText xml:space="preserve"> HYPERLINK "https://www.govinfo.gov/content/pkg/FR-2019-01-24/pdf/2019-00077.pdf" </w:instrText>
                      </w:r>
                      <w:r>
                        <w:fldChar w:fldCharType="separate"/>
                      </w:r>
                      <w:r w:rsidR="00C13860">
                        <w:rPr>
                          <w:b/>
                          <w:color w:val="FFFFFF" w:themeColor="background1"/>
                          <w:sz w:val="36"/>
                          <w:szCs w:val="36"/>
                        </w:rPr>
                        <w:t>JANUARY</w:t>
                      </w:r>
                      <w:r>
                        <w:fldChar w:fldCharType="end"/>
                      </w:r>
                      <w:r w:rsidRPr="00A1062C">
                        <w:rPr>
                          <w:b/>
                          <w:color w:val="FFFFFF" w:themeColor="background1"/>
                          <w:sz w:val="36"/>
                          <w:szCs w:val="36"/>
                        </w:rPr>
                        <w:t xml:space="preserve"> 2020</w:t>
                      </w:r>
                    </w:p>
                  </w:txbxContent>
                </v:textbox>
                <w10:wrap anchorx="margin"/>
              </v:shape>
            </w:pict>
          </mc:Fallback>
        </mc:AlternateContent>
      </w:r>
      <w:r w:rsidRPr="008D08A1" w:rsidR="000A22E5">
        <w:rPr>
          <w:noProof/>
        </w:rPr>
        <mc:AlternateContent>
          <mc:Choice Requires="wps">
            <w:drawing>
              <wp:anchor distT="0" distB="0" distL="114300" distR="114300" simplePos="0" relativeHeight="251661312" behindDoc="1" locked="0" layoutInCell="1" allowOverlap="1">
                <wp:simplePos x="0" y="0"/>
                <wp:positionH relativeFrom="leftMargin">
                  <wp:posOffset>258283</wp:posOffset>
                </wp:positionH>
                <wp:positionV relativeFrom="page">
                  <wp:posOffset>9645015</wp:posOffset>
                </wp:positionV>
                <wp:extent cx="2071370" cy="21018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71370" cy="210185"/>
                        </a:xfrm>
                        <a:prstGeom prst="rect">
                          <a:avLst/>
                        </a:prstGeom>
                        <a:noFill/>
                        <a:ln w="6350">
                          <a:noFill/>
                        </a:ln>
                      </wps:spPr>
                      <wps:txbx>
                        <w:txbxContent>
                          <w:p w:rsidR="000A22E5" w:rsidRPr="000A22E5" w:rsidP="000A22E5">
                            <w:pPr>
                              <w:jc w:val="center"/>
                              <w:rPr>
                                <w:rFonts w:ascii="Arial" w:hAnsi="Arial" w:cs="Arial"/>
                                <w:color w:val="FFFFFF" w:themeColor="background1"/>
                                <w:sz w:val="16"/>
                                <w:szCs w:val="16"/>
                              </w:rPr>
                            </w:pPr>
                            <w:r w:rsidRPr="000A22E5">
                              <w:rPr>
                                <w:rFonts w:ascii="Arial" w:hAnsi="Arial" w:cs="Arial"/>
                                <w:color w:val="FFFFFF" w:themeColor="background1"/>
                                <w:sz w:val="16"/>
                                <w:szCs w:val="16"/>
                              </w:rPr>
                              <w:t>© 20</w:t>
                            </w:r>
                            <w:r w:rsidR="00C13860">
                              <w:rPr>
                                <w:rFonts w:ascii="Arial" w:hAnsi="Arial" w:cs="Arial"/>
                                <w:color w:val="FFFFFF" w:themeColor="background1"/>
                                <w:sz w:val="16"/>
                                <w:szCs w:val="16"/>
                              </w:rPr>
                              <w:t>19</w:t>
                            </w:r>
                            <w:r w:rsidRPr="000A22E5">
                              <w:rPr>
                                <w:rFonts w:ascii="Arial" w:hAnsi="Arial" w:cs="Arial"/>
                                <w:color w:val="FFFFFF" w:themeColor="background1"/>
                                <w:sz w:val="16"/>
                                <w:szCs w:val="16"/>
                              </w:rPr>
                              <w:t xml:space="preserve"> Zywave, Inc. All rights reserved</w:t>
                            </w:r>
                            <w:r w:rsidR="000B7661">
                              <w:rPr>
                                <w:rFonts w:ascii="Arial" w:hAnsi="Arial" w:cs="Arial"/>
                                <w:color w:val="FFFFFF" w:themeColor="background1"/>
                                <w:sz w:val="16"/>
                                <w:szCs w:val="16"/>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width:163.1pt;height:16.55pt;margin-top:759.45pt;margin-left:20.35pt;mso-height-percent:0;mso-height-relative:margin;mso-position-horizontal-relative:left-margin-area;mso-position-vertical-relative:page;mso-width-percent:0;mso-width-relative:margin;mso-wrap-distance-bottom:0;mso-wrap-distance-left:9pt;mso-wrap-distance-right:9pt;mso-wrap-distance-top:0;mso-wrap-style:square;position:absolute;visibility:visible;v-text-anchor:top;z-index:-251654144" filled="f" stroked="f" strokeweight="0.5pt">
                <v:textbox>
                  <w:txbxContent>
                    <w:p w:rsidR="000A22E5" w:rsidRPr="000A22E5" w:rsidP="000A22E5">
                      <w:pPr>
                        <w:jc w:val="center"/>
                        <w:rPr>
                          <w:rFonts w:ascii="Arial" w:hAnsi="Arial" w:cs="Arial"/>
                          <w:color w:val="FFFFFF" w:themeColor="background1"/>
                          <w:sz w:val="16"/>
                          <w:szCs w:val="16"/>
                        </w:rPr>
                      </w:pPr>
                      <w:r w:rsidRPr="000A22E5">
                        <w:rPr>
                          <w:rFonts w:ascii="Arial" w:hAnsi="Arial" w:cs="Arial"/>
                          <w:color w:val="FFFFFF" w:themeColor="background1"/>
                          <w:sz w:val="16"/>
                          <w:szCs w:val="16"/>
                        </w:rPr>
                        <w:t>© 20</w:t>
                      </w:r>
                      <w:r w:rsidR="00C13860">
                        <w:rPr>
                          <w:rFonts w:ascii="Arial" w:hAnsi="Arial" w:cs="Arial"/>
                          <w:color w:val="FFFFFF" w:themeColor="background1"/>
                          <w:sz w:val="16"/>
                          <w:szCs w:val="16"/>
                        </w:rPr>
                        <w:t>19</w:t>
                      </w:r>
                      <w:r w:rsidRPr="000A22E5">
                        <w:rPr>
                          <w:rFonts w:ascii="Arial" w:hAnsi="Arial" w:cs="Arial"/>
                          <w:color w:val="FFFFFF" w:themeColor="background1"/>
                          <w:sz w:val="16"/>
                          <w:szCs w:val="16"/>
                        </w:rPr>
                        <w:t xml:space="preserve"> Zywave, Inc. All rights reserved</w:t>
                      </w:r>
                      <w:r w:rsidR="000B7661">
                        <w:rPr>
                          <w:rFonts w:ascii="Arial" w:hAnsi="Arial" w:cs="Arial"/>
                          <w:color w:val="FFFFFF" w:themeColor="background1"/>
                          <w:sz w:val="16"/>
                          <w:szCs w:val="16"/>
                        </w:rPr>
                        <w:t>.</w:t>
                      </w:r>
                    </w:p>
                  </w:txbxContent>
                </v:textbox>
              </v:shape>
            </w:pict>
          </mc:Fallback>
        </mc:AlternateContent>
      </w:r>
    </w:p>
    <w:sectPr w:rsidSect="006B7630">
      <w:headerReference w:type="default" r:id="rId5"/>
      <w:type w:val="continuous"/>
      <w:pgSz w:w="12240" w:h="15840"/>
      <w:pgMar w:top="432" w:right="720" w:bottom="1440" w:left="4608" w:header="720" w:footer="720" w:gutter="0"/>
      <w:cols w:num="2" w:space="2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0E14">
    <w:pPr>
      <w:pStyle w:val="Header"/>
    </w:pPr>
    <w:r>
      <w:rPr>
        <w:noProof/>
      </w:rPr>
      <w:drawing>
        <wp:anchor distT="0" distB="0" distL="114300" distR="114300" simplePos="0" relativeHeight="251658240" behindDoc="1" locked="0" layoutInCell="1" allowOverlap="1">
          <wp:simplePos x="0" y="0"/>
          <wp:positionH relativeFrom="page">
            <wp:posOffset>-7620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31223" name="page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64378"/>
    <w:multiLevelType w:val="hybridMultilevel"/>
    <w:tmpl w:val="4A6CA8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9531B8"/>
    <w:multiLevelType w:val="hybridMultilevel"/>
    <w:tmpl w:val="2FBCC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C95092"/>
    <w:multiLevelType w:val="hybridMultilevel"/>
    <w:tmpl w:val="8F4CFAF2"/>
    <w:lvl w:ilvl="0">
      <w:start w:val="1"/>
      <w:numFmt w:val="bullet"/>
      <w:pStyle w:val="BulletLis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D325C5"/>
    <w:multiLevelType w:val="hybridMultilevel"/>
    <w:tmpl w:val="012433AA"/>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0C5AEA"/>
    <w:multiLevelType w:val="hybridMultilevel"/>
    <w:tmpl w:val="A56810E2"/>
    <w:lvl w:ilvl="0">
      <w:start w:val="1"/>
      <w:numFmt w:val="decimal"/>
      <w:pStyle w:val="NumberedList"/>
      <w:lvlText w:val="%1."/>
      <w:lvlJc w:val="left"/>
      <w:pPr>
        <w:ind w:left="810" w:hanging="360"/>
      </w:pPr>
      <w:rPr>
        <w:rFonts w:hint="default"/>
        <w:b/>
        <w:i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3EC41826"/>
    <w:multiLevelType w:val="hybridMultilevel"/>
    <w:tmpl w:val="9050CA3E"/>
    <w:lvl w:ilvl="0">
      <w:start w:val="3"/>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CF7BF7"/>
    <w:multiLevelType w:val="hybridMultilevel"/>
    <w:tmpl w:val="30627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95D6A28"/>
    <w:multiLevelType w:val="hybridMultilevel"/>
    <w:tmpl w:val="F22E57F0"/>
    <w:lvl w:ilvl="0">
      <w:start w:val="1"/>
      <w:numFmt w:val="bullet"/>
      <w:pStyle w:val="BulletedLis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60"/>
    <w:rsid w:val="00096676"/>
    <w:rsid w:val="000A1A7C"/>
    <w:rsid w:val="000A22E5"/>
    <w:rsid w:val="000B7661"/>
    <w:rsid w:val="000F08E0"/>
    <w:rsid w:val="001213A0"/>
    <w:rsid w:val="00185FD8"/>
    <w:rsid w:val="001932BA"/>
    <w:rsid w:val="001A6F73"/>
    <w:rsid w:val="001F619A"/>
    <w:rsid w:val="0020115E"/>
    <w:rsid w:val="002B67A3"/>
    <w:rsid w:val="002B6B23"/>
    <w:rsid w:val="002D5705"/>
    <w:rsid w:val="002F38B6"/>
    <w:rsid w:val="00317064"/>
    <w:rsid w:val="004431DE"/>
    <w:rsid w:val="00450F07"/>
    <w:rsid w:val="0045285D"/>
    <w:rsid w:val="004B0128"/>
    <w:rsid w:val="004C2C14"/>
    <w:rsid w:val="004F41C3"/>
    <w:rsid w:val="0051484C"/>
    <w:rsid w:val="0053575D"/>
    <w:rsid w:val="005455C0"/>
    <w:rsid w:val="005617BE"/>
    <w:rsid w:val="00587E00"/>
    <w:rsid w:val="005D59F3"/>
    <w:rsid w:val="00607E4B"/>
    <w:rsid w:val="006B7630"/>
    <w:rsid w:val="00736302"/>
    <w:rsid w:val="00792C11"/>
    <w:rsid w:val="00792F89"/>
    <w:rsid w:val="008265F1"/>
    <w:rsid w:val="00841C46"/>
    <w:rsid w:val="008A0B9A"/>
    <w:rsid w:val="008A740E"/>
    <w:rsid w:val="008B636A"/>
    <w:rsid w:val="008D0E14"/>
    <w:rsid w:val="008F5DE8"/>
    <w:rsid w:val="0096300C"/>
    <w:rsid w:val="00970778"/>
    <w:rsid w:val="00974F0E"/>
    <w:rsid w:val="00986B93"/>
    <w:rsid w:val="009C336C"/>
    <w:rsid w:val="00A1062C"/>
    <w:rsid w:val="00A16E52"/>
    <w:rsid w:val="00A30C21"/>
    <w:rsid w:val="00A57169"/>
    <w:rsid w:val="00A635C0"/>
    <w:rsid w:val="00AD027A"/>
    <w:rsid w:val="00B129E0"/>
    <w:rsid w:val="00B166B1"/>
    <w:rsid w:val="00B2035A"/>
    <w:rsid w:val="00B27928"/>
    <w:rsid w:val="00B36F37"/>
    <w:rsid w:val="00B85464"/>
    <w:rsid w:val="00BB5DB5"/>
    <w:rsid w:val="00BC1289"/>
    <w:rsid w:val="00C028FB"/>
    <w:rsid w:val="00C13860"/>
    <w:rsid w:val="00C92443"/>
    <w:rsid w:val="00CA7A2E"/>
    <w:rsid w:val="00CB25AA"/>
    <w:rsid w:val="00D001DF"/>
    <w:rsid w:val="00D47248"/>
    <w:rsid w:val="00D47D52"/>
    <w:rsid w:val="00D56A8B"/>
    <w:rsid w:val="00DC2EC9"/>
    <w:rsid w:val="00E17698"/>
    <w:rsid w:val="00E17D84"/>
    <w:rsid w:val="00E63837"/>
    <w:rsid w:val="00ED6866"/>
    <w:rsid w:val="00F505DA"/>
    <w:rsid w:val="00F90E5E"/>
    <w:rsid w:val="00FE5A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AE93FBE-19AB-4A5D-A4B8-2B667779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ABD"/>
  </w:style>
  <w:style w:type="paragraph" w:styleId="Footer">
    <w:name w:val="footer"/>
    <w:basedOn w:val="Normal"/>
    <w:link w:val="FooterChar"/>
    <w:uiPriority w:val="99"/>
    <w:unhideWhenUsed/>
    <w:rsid w:val="00FE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ABD"/>
  </w:style>
  <w:style w:type="paragraph" w:customStyle="1" w:styleId="ArticleHeader">
    <w:name w:val="Article Header"/>
    <w:basedOn w:val="Normal"/>
    <w:link w:val="ArticleHeaderChar"/>
    <w:rsid w:val="000A1A7C"/>
    <w:pPr>
      <w:spacing w:after="0" w:line="240" w:lineRule="auto"/>
    </w:pPr>
    <w:rPr>
      <w:rFonts w:ascii="Arial" w:hAnsi="Arial" w:cs="Arial"/>
      <w:b/>
      <w:sz w:val="32"/>
      <w:szCs w:val="32"/>
    </w:rPr>
  </w:style>
  <w:style w:type="paragraph" w:customStyle="1" w:styleId="Subheader">
    <w:name w:val="Subheader"/>
    <w:basedOn w:val="Normal"/>
    <w:link w:val="SubheaderChar"/>
    <w:rsid w:val="000A1A7C"/>
    <w:pPr>
      <w:spacing w:after="0" w:line="240" w:lineRule="auto"/>
    </w:pPr>
    <w:rPr>
      <w:rFonts w:ascii="Arial" w:hAnsi="Arial" w:cs="Arial"/>
      <w:b/>
      <w:sz w:val="26"/>
      <w:szCs w:val="26"/>
    </w:rPr>
  </w:style>
  <w:style w:type="character" w:customStyle="1" w:styleId="ArticleHeaderChar">
    <w:name w:val="Article Header Char"/>
    <w:basedOn w:val="DefaultParagraphFont"/>
    <w:link w:val="ArticleHeader"/>
    <w:rsid w:val="000A1A7C"/>
    <w:rPr>
      <w:rFonts w:ascii="Arial" w:hAnsi="Arial" w:cs="Arial"/>
      <w:b/>
      <w:sz w:val="32"/>
      <w:szCs w:val="32"/>
    </w:rPr>
  </w:style>
  <w:style w:type="paragraph" w:customStyle="1" w:styleId="BulletedList">
    <w:name w:val="Bulleted List"/>
    <w:basedOn w:val="Normal"/>
    <w:link w:val="BulletedListChar"/>
    <w:rsid w:val="000A1A7C"/>
    <w:pPr>
      <w:numPr>
        <w:numId w:val="1"/>
      </w:numPr>
      <w:spacing w:after="0" w:line="240" w:lineRule="auto"/>
    </w:pPr>
    <w:rPr>
      <w:rFonts w:ascii="Arial" w:hAnsi="Arial" w:cs="Arial"/>
    </w:rPr>
  </w:style>
  <w:style w:type="character" w:customStyle="1" w:styleId="SubheaderChar">
    <w:name w:val="Subheader Char"/>
    <w:basedOn w:val="DefaultParagraphFont"/>
    <w:link w:val="Subheader"/>
    <w:rsid w:val="000A1A7C"/>
    <w:rPr>
      <w:rFonts w:ascii="Arial" w:hAnsi="Arial" w:cs="Arial"/>
      <w:b/>
      <w:sz w:val="26"/>
      <w:szCs w:val="26"/>
    </w:rPr>
  </w:style>
  <w:style w:type="paragraph" w:customStyle="1" w:styleId="NumberedList">
    <w:name w:val="Numbered List"/>
    <w:basedOn w:val="BulletedList"/>
    <w:link w:val="NumberedListChar"/>
    <w:rsid w:val="00841C46"/>
    <w:pPr>
      <w:numPr>
        <w:numId w:val="2"/>
      </w:numPr>
      <w:ind w:left="270" w:hanging="270"/>
    </w:pPr>
  </w:style>
  <w:style w:type="character" w:customStyle="1" w:styleId="BulletedListChar">
    <w:name w:val="Bulleted List Char"/>
    <w:basedOn w:val="DefaultParagraphFont"/>
    <w:link w:val="BulletedList"/>
    <w:rsid w:val="000A1A7C"/>
    <w:rPr>
      <w:rFonts w:ascii="Arial" w:hAnsi="Arial" w:cs="Arial"/>
    </w:rPr>
  </w:style>
  <w:style w:type="character" w:customStyle="1" w:styleId="NumberedListChar">
    <w:name w:val="Numbered List Char"/>
    <w:basedOn w:val="BulletedListChar"/>
    <w:link w:val="NumberedList"/>
    <w:rsid w:val="00841C46"/>
    <w:rPr>
      <w:rFonts w:ascii="Arial" w:hAnsi="Arial" w:cs="Arial"/>
    </w:rPr>
  </w:style>
  <w:style w:type="character" w:styleId="Hyperlink">
    <w:name w:val="Hyperlink"/>
    <w:basedOn w:val="DefaultParagraphFont"/>
    <w:uiPriority w:val="99"/>
    <w:unhideWhenUsed/>
    <w:rsid w:val="002B67A3"/>
    <w:rPr>
      <w:color w:val="0563C1" w:themeColor="hyperlink"/>
      <w:u w:val="single"/>
    </w:rPr>
  </w:style>
  <w:style w:type="paragraph" w:styleId="ListParagraph">
    <w:name w:val="List Paragraph"/>
    <w:basedOn w:val="Normal"/>
    <w:uiPriority w:val="34"/>
    <w:rsid w:val="002B67A3"/>
    <w:pPr>
      <w:spacing w:line="240" w:lineRule="auto"/>
      <w:ind w:left="720"/>
      <w:contextualSpacing/>
    </w:pPr>
    <w:rPr>
      <w:rFonts w:ascii="Arial" w:hAnsi="Arial" w:cs="Arial"/>
      <w:sz w:val="20"/>
    </w:rPr>
  </w:style>
  <w:style w:type="paragraph" w:customStyle="1" w:styleId="1Header">
    <w:name w:val="1 Header"/>
    <w:basedOn w:val="ArticleHeader"/>
    <w:link w:val="1HeaderChar"/>
    <w:qFormat/>
    <w:rsid w:val="001932BA"/>
    <w:pPr>
      <w:spacing w:after="80" w:line="192" w:lineRule="auto"/>
    </w:pPr>
    <w:rPr>
      <w:rFonts w:asciiTheme="minorHAnsi" w:hAnsiTheme="minorHAnsi" w:cstheme="minorHAnsi"/>
      <w:sz w:val="36"/>
    </w:rPr>
  </w:style>
  <w:style w:type="paragraph" w:customStyle="1" w:styleId="Body">
    <w:name w:val="Body"/>
    <w:basedOn w:val="Normal"/>
    <w:link w:val="BodyChar"/>
    <w:qFormat/>
    <w:rsid w:val="005617BE"/>
    <w:pPr>
      <w:spacing w:line="252" w:lineRule="auto"/>
    </w:pPr>
    <w:rPr>
      <w:rFonts w:cstheme="minorHAnsi"/>
    </w:rPr>
  </w:style>
  <w:style w:type="character" w:customStyle="1" w:styleId="1HeaderChar">
    <w:name w:val="1 Header Char"/>
    <w:basedOn w:val="ArticleHeaderChar"/>
    <w:link w:val="1Header"/>
    <w:rsid w:val="001932BA"/>
    <w:rPr>
      <w:rFonts w:ascii="Arial" w:hAnsi="Arial" w:cstheme="minorHAnsi"/>
      <w:b/>
      <w:sz w:val="36"/>
      <w:szCs w:val="32"/>
    </w:rPr>
  </w:style>
  <w:style w:type="paragraph" w:customStyle="1" w:styleId="BulletList">
    <w:name w:val="Bullet List"/>
    <w:basedOn w:val="Body"/>
    <w:link w:val="BulletListChar"/>
    <w:qFormat/>
    <w:rsid w:val="00185FD8"/>
    <w:pPr>
      <w:numPr>
        <w:numId w:val="6"/>
      </w:numPr>
      <w:spacing w:after="60"/>
      <w:ind w:left="273" w:hanging="187"/>
    </w:pPr>
  </w:style>
  <w:style w:type="character" w:customStyle="1" w:styleId="BodyChar">
    <w:name w:val="Body Char"/>
    <w:basedOn w:val="DefaultParagraphFont"/>
    <w:link w:val="Body"/>
    <w:rsid w:val="005617BE"/>
    <w:rPr>
      <w:rFonts w:cstheme="minorHAnsi"/>
    </w:rPr>
  </w:style>
  <w:style w:type="character" w:customStyle="1" w:styleId="BulletListChar">
    <w:name w:val="Bullet List Char"/>
    <w:basedOn w:val="BodyChar"/>
    <w:link w:val="BulletList"/>
    <w:rsid w:val="00185FD8"/>
    <w:rPr>
      <w:rFonts w:cstheme="minorHAnsi"/>
    </w:rPr>
  </w:style>
  <w:style w:type="paragraph" w:customStyle="1" w:styleId="2Header">
    <w:name w:val="2 Header"/>
    <w:basedOn w:val="Normal"/>
    <w:link w:val="2HeaderChar"/>
    <w:qFormat/>
    <w:rsid w:val="00A57169"/>
    <w:pPr>
      <w:spacing w:after="0"/>
    </w:pPr>
    <w:rPr>
      <w:rFonts w:cstheme="minorHAnsi"/>
      <w:b/>
    </w:rPr>
  </w:style>
  <w:style w:type="character" w:customStyle="1" w:styleId="2HeaderChar">
    <w:name w:val="2 Header Char"/>
    <w:basedOn w:val="DefaultParagraphFont"/>
    <w:link w:val="2Header"/>
    <w:rsid w:val="00A57169"/>
    <w:rPr>
      <w:rFonts w:cstheme="minorHAnsi"/>
      <w:b/>
    </w:rPr>
  </w:style>
  <w:style w:type="character" w:customStyle="1" w:styleId="UnresolvedMention">
    <w:name w:val="Unresolved Mention"/>
    <w:basedOn w:val="DefaultParagraphFont"/>
    <w:uiPriority w:val="99"/>
    <w:semiHidden/>
    <w:unhideWhenUsed/>
    <w:rsid w:val="00C13860"/>
    <w:rPr>
      <w:color w:val="605E5C"/>
      <w:shd w:val="clear" w:color="auto" w:fill="E1DFDD"/>
    </w:rPr>
  </w:style>
  <w:style w:type="character" w:styleId="FollowedHyperlink">
    <w:name w:val="FollowedHyperlink"/>
    <w:basedOn w:val="DefaultParagraphFont"/>
    <w:uiPriority w:val="99"/>
    <w:semiHidden/>
    <w:unhideWhenUsed/>
    <w:rsid w:val="000B7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I:\Content%20Development\MASTER%20TEMPLATES\EB%20Content\Benefits%20Buzz\2020\Benefits_Buzz-EB-2020-U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Benefits_Buzz-EB-2020-US</Template>
  <TotalTime>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Jillian</dc:creator>
  <cp:lastModifiedBy>English, Jillian</cp:lastModifiedBy>
  <cp:revision>3</cp:revision>
  <dcterms:created xsi:type="dcterms:W3CDTF">2019-12-11T19:42:00Z</dcterms:created>
  <dcterms:modified xsi:type="dcterms:W3CDTF">2019-12-11T19:44:00Z</dcterms:modified>
</cp:coreProperties>
</file>