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DD9" w:rsidRDefault="007B7912" w:rsidP="007201D3">
      <w:pPr>
        <w:pStyle w:val="BodyText"/>
        <w:sectPr w:rsidR="00777DD9" w:rsidSect="009C43ED">
          <w:headerReference w:type="default" r:id="rId8"/>
          <w:footerReference w:type="default" r:id="rId9"/>
          <w:pgSz w:w="12240" w:h="15840"/>
          <w:pgMar w:top="4410" w:right="720" w:bottom="180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4889500</wp:posOffset>
            </wp:positionH>
            <wp:positionV relativeFrom="margin">
              <wp:posOffset>5715000</wp:posOffset>
            </wp:positionV>
            <wp:extent cx="1645923" cy="1120142"/>
            <wp:effectExtent l="0" t="0" r="0" b="0"/>
            <wp:wrapNone/>
            <wp:docPr id="100017" name="Picture 100017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24794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0FF6">
        <w:rPr>
          <w:noProof/>
        </w:rPr>
        <mc:AlternateContent>
          <mc:Choice Requires="wps">
            <w:drawing>
              <wp:anchor distT="0" distB="822960" distL="365760" distR="182880" simplePos="0" relativeHeight="251659264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ge">
                  <wp:posOffset>3076575</wp:posOffset>
                </wp:positionV>
                <wp:extent cx="2423160" cy="5295900"/>
                <wp:effectExtent l="0" t="0" r="0" b="0"/>
                <wp:wrapSquare wrapText="bothSides"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529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DD9" w:rsidRDefault="007B7912" w:rsidP="000D733F">
                            <w:r w:rsidRPr="007C6319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>
                                  <wp:extent cx="2238375" cy="371475"/>
                                  <wp:effectExtent l="0" t="0" r="0" b="0"/>
                                  <wp:docPr id="1336711768" name="Picture 9" descr="C:\Users\singleton\Desktop\Projects\Compliabce Bulletin_Leg Brief_Reg Update\Compliance Bulletin\Highlights_BLU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0035429" name="Picture 9" descr="C:\Users\singleton\Desktop\Projects\Compliabce Bulletin_Leg Brief_Reg Update\Compliance Bulletin\Highlights_BLU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7DD9" w:rsidRPr="0091138D" w:rsidRDefault="007B7912" w:rsidP="0091138D">
                            <w:pPr>
                              <w:pStyle w:val="H-Heading"/>
                            </w:pPr>
                            <w:r>
                              <w:t>20</w:t>
                            </w:r>
                            <w:r w:rsidR="00321147">
                              <w:t>20</w:t>
                            </w:r>
                            <w:r w:rsidR="008F62F4">
                              <w:t xml:space="preserve"> Contribution limits</w:t>
                            </w:r>
                          </w:p>
                          <w:p w:rsidR="008F62F4" w:rsidRPr="00214BEE" w:rsidRDefault="007B7912" w:rsidP="008F62F4">
                            <w:pPr>
                              <w:pStyle w:val="H-Bulletlist"/>
                            </w:pPr>
                            <w:r>
                              <w:t>For 2</w:t>
                            </w:r>
                            <w:r w:rsidR="008A3461">
                              <w:t>020</w:t>
                            </w:r>
                            <w:r>
                              <w:t>, $3,5</w:t>
                            </w:r>
                            <w:r w:rsidR="008A3461">
                              <w:t>5</w:t>
                            </w:r>
                            <w:r>
                              <w:t>0 for individuals with self-</w:t>
                            </w:r>
                            <w:r>
                              <w:t xml:space="preserve">only </w:t>
                            </w:r>
                            <w:r w:rsidR="00953A8A">
                              <w:t xml:space="preserve">HDHP </w:t>
                            </w:r>
                            <w:r>
                              <w:t>coverage and $7,</w:t>
                            </w:r>
                            <w:r w:rsidR="008A3461">
                              <w:t>1</w:t>
                            </w:r>
                            <w:r>
                              <w:t xml:space="preserve">00 for individuals with family </w:t>
                            </w:r>
                            <w:r w:rsidR="00953A8A">
                              <w:t xml:space="preserve">HDHP </w:t>
                            </w:r>
                            <w:r>
                              <w:t>coverage.</w:t>
                            </w:r>
                          </w:p>
                          <w:p w:rsidR="008F62F4" w:rsidRPr="00214BEE" w:rsidRDefault="007B7912" w:rsidP="008F62F4">
                            <w:pPr>
                              <w:pStyle w:val="H-Bulletlist"/>
                            </w:pPr>
                            <w:r w:rsidRPr="00F50E54">
                              <w:t>Individuals who are age 55 or o</w:t>
                            </w:r>
                            <w:r>
                              <w:t xml:space="preserve">lder may make an additional $1,000 “catch-up” contribution. </w:t>
                            </w:r>
                          </w:p>
                          <w:p w:rsidR="00F9758D" w:rsidRPr="000D733F" w:rsidRDefault="007B7912" w:rsidP="00F9758D">
                            <w:pPr>
                              <w:pStyle w:val="H-Heading"/>
                            </w:pPr>
                            <w:r>
                              <w:t>20</w:t>
                            </w:r>
                            <w:r w:rsidR="008A3461">
                              <w:t>20</w:t>
                            </w:r>
                            <w:r w:rsidR="008F62F4">
                              <w:t xml:space="preserve"> Hdhp cost-sharing limits</w:t>
                            </w:r>
                          </w:p>
                          <w:p w:rsidR="008F62F4" w:rsidRDefault="007B7912" w:rsidP="008F62F4">
                            <w:pPr>
                              <w:pStyle w:val="H-Bulletlist"/>
                            </w:pPr>
                            <w:r>
                              <w:t>For 20</w:t>
                            </w:r>
                            <w:r w:rsidR="008A3461">
                              <w:t>20</w:t>
                            </w:r>
                            <w:r>
                              <w:t xml:space="preserve"> plan years, the </w:t>
                            </w:r>
                            <w:r w:rsidRPr="00B24BF5">
                              <w:rPr>
                                <w:b/>
                              </w:rPr>
                              <w:t>minimum deductible</w:t>
                            </w:r>
                            <w:r>
                              <w:t xml:space="preserve"> is $1,</w:t>
                            </w:r>
                            <w:r w:rsidR="008A3461">
                              <w:t>40</w:t>
                            </w:r>
                            <w:r>
                              <w:t>0 for sel</w:t>
                            </w:r>
                            <w:r>
                              <w:t xml:space="preserve">f-only </w:t>
                            </w:r>
                            <w:r w:rsidR="00953A8A">
                              <w:t xml:space="preserve">HDHP </w:t>
                            </w:r>
                            <w:r>
                              <w:t>coverage and $2,</w:t>
                            </w:r>
                            <w:r w:rsidR="008A3461">
                              <w:t>8</w:t>
                            </w:r>
                            <w:r>
                              <w:t xml:space="preserve">00 for family </w:t>
                            </w:r>
                            <w:r w:rsidR="00953A8A">
                              <w:t xml:space="preserve">HDHP </w:t>
                            </w:r>
                            <w:r>
                              <w:t>coverage.</w:t>
                            </w:r>
                          </w:p>
                          <w:p w:rsidR="00B24BF5" w:rsidRDefault="007B7912" w:rsidP="00B24BF5">
                            <w:pPr>
                              <w:pStyle w:val="H-Bulletlist"/>
                            </w:pPr>
                            <w:r>
                              <w:t>For 20</w:t>
                            </w:r>
                            <w:r w:rsidR="008A3461">
                              <w:t>20</w:t>
                            </w:r>
                            <w:r>
                              <w:t xml:space="preserve"> plan years, the </w:t>
                            </w:r>
                            <w:r w:rsidRPr="00B24BF5">
                              <w:rPr>
                                <w:b/>
                              </w:rPr>
                              <w:t>out-of-pocket maximum</w:t>
                            </w:r>
                            <w:r>
                              <w:t xml:space="preserve"> is $6,</w:t>
                            </w:r>
                            <w:r w:rsidR="008A3461">
                              <w:t>90</w:t>
                            </w:r>
                            <w:r>
                              <w:t xml:space="preserve">0 for self-only </w:t>
                            </w:r>
                            <w:r w:rsidR="00953A8A">
                              <w:t xml:space="preserve">HDHP </w:t>
                            </w:r>
                            <w:r>
                              <w:t>coverage and $13,</w:t>
                            </w:r>
                            <w:r w:rsidR="008A3461">
                              <w:t>8</w:t>
                            </w:r>
                            <w:r>
                              <w:t xml:space="preserve">00 for family </w:t>
                            </w:r>
                            <w:r w:rsidR="00953A8A">
                              <w:t xml:space="preserve">HDHP </w:t>
                            </w:r>
                            <w:r>
                              <w:t xml:space="preserve">coverage. </w:t>
                            </w:r>
                          </w:p>
                          <w:p w:rsidR="008F62F4" w:rsidRDefault="008F62F4" w:rsidP="00F9758D">
                            <w:pPr>
                              <w:pStyle w:val="BodyText"/>
                              <w:spacing w:before="120"/>
                            </w:pPr>
                          </w:p>
                          <w:p w:rsidR="008F62F4" w:rsidRDefault="008F62F4" w:rsidP="00F9758D">
                            <w:pPr>
                              <w:pStyle w:val="BodyText"/>
                              <w:spacing w:before="120"/>
                            </w:pPr>
                          </w:p>
                          <w:p w:rsidR="008F62F4" w:rsidRPr="00E66D6F" w:rsidRDefault="008F62F4" w:rsidP="008F62F4">
                            <w:pPr>
                              <w:pStyle w:val="Style1"/>
                            </w:pPr>
                          </w:p>
                          <w:p w:rsidR="008F62F4" w:rsidRPr="00E66D6F" w:rsidRDefault="008F62F4" w:rsidP="00F9758D">
                            <w:pPr>
                              <w:pStyle w:val="BodyText"/>
                              <w:spacing w:before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354pt;margin-top:242.25pt;width:190.8pt;height:417pt;z-index:-251657216;visibility:visible;mso-wrap-style:square;mso-width-percent:0;mso-height-percent:0;mso-wrap-distance-left:28.8pt;mso-wrap-distance-top:0;mso-wrap-distance-right:14.4pt;mso-wrap-distance-bottom:64.8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" filled="f" stroked="f" strokeweight=".5pt">
                <v:textbox>
                  <w:txbxContent>
                    <w:p w:rsidR="00777DD9" w:rsidRDefault="007B7912" w:rsidP="000D733F">
                      <w:r w:rsidRPr="007C6319">
                        <w:rPr>
                          <w:noProof/>
                          <w:vertAlign w:val="subscript"/>
                        </w:rPr>
                        <w:drawing>
                          <wp:inline distT="0" distB="0" distL="0" distR="0">
                            <wp:extent cx="2238375" cy="371475"/>
                            <wp:effectExtent l="0" t="0" r="0" b="0"/>
                            <wp:docPr id="1336711768" name="Picture 9" descr="C:\Users\singleton\Desktop\Projects\Compliabce Bulletin_Leg Brief_Reg Update\Compliance Bulletin\Highlights_BLU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0035429" name="Picture 9" descr="C:\Users\singleton\Desktop\Projects\Compliabce Bulletin_Leg Brief_Reg Update\Compliance Bulletin\Highlights_BLU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7DD9" w:rsidRPr="0091138D" w:rsidRDefault="007B7912" w:rsidP="0091138D">
                      <w:pPr>
                        <w:pStyle w:val="H-Heading"/>
                      </w:pPr>
                      <w:r>
                        <w:t>20</w:t>
                      </w:r>
                      <w:r w:rsidR="00321147">
                        <w:t>20</w:t>
                      </w:r>
                      <w:r w:rsidR="008F62F4">
                        <w:t xml:space="preserve"> Contribution limits</w:t>
                      </w:r>
                    </w:p>
                    <w:p w:rsidR="008F62F4" w:rsidRPr="00214BEE" w:rsidRDefault="007B7912" w:rsidP="008F62F4">
                      <w:pPr>
                        <w:pStyle w:val="H-Bulletlist"/>
                      </w:pPr>
                      <w:r>
                        <w:t>For 2</w:t>
                      </w:r>
                      <w:r w:rsidR="008A3461">
                        <w:t>020</w:t>
                      </w:r>
                      <w:r>
                        <w:t>, $3,5</w:t>
                      </w:r>
                      <w:r w:rsidR="008A3461">
                        <w:t>5</w:t>
                      </w:r>
                      <w:r>
                        <w:t>0 for individuals with self-</w:t>
                      </w:r>
                      <w:r>
                        <w:t xml:space="preserve">only </w:t>
                      </w:r>
                      <w:r w:rsidR="00953A8A">
                        <w:t xml:space="preserve">HDHP </w:t>
                      </w:r>
                      <w:r>
                        <w:t>coverage and $7,</w:t>
                      </w:r>
                      <w:r w:rsidR="008A3461">
                        <w:t>1</w:t>
                      </w:r>
                      <w:r>
                        <w:t xml:space="preserve">00 for individuals with family </w:t>
                      </w:r>
                      <w:r w:rsidR="00953A8A">
                        <w:t xml:space="preserve">HDHP </w:t>
                      </w:r>
                      <w:r>
                        <w:t>coverage.</w:t>
                      </w:r>
                    </w:p>
                    <w:p w:rsidR="008F62F4" w:rsidRPr="00214BEE" w:rsidRDefault="007B7912" w:rsidP="008F62F4">
                      <w:pPr>
                        <w:pStyle w:val="H-Bulletlist"/>
                      </w:pPr>
                      <w:r w:rsidRPr="00F50E54">
                        <w:t>Individuals who are age 55 or o</w:t>
                      </w:r>
                      <w:r>
                        <w:t xml:space="preserve">lder may make an additional $1,000 “catch-up” contribution. </w:t>
                      </w:r>
                    </w:p>
                    <w:p w:rsidR="00F9758D" w:rsidRPr="000D733F" w:rsidRDefault="007B7912" w:rsidP="00F9758D">
                      <w:pPr>
                        <w:pStyle w:val="H-Heading"/>
                      </w:pPr>
                      <w:r>
                        <w:t>20</w:t>
                      </w:r>
                      <w:r w:rsidR="008A3461">
                        <w:t>20</w:t>
                      </w:r>
                      <w:r w:rsidR="008F62F4">
                        <w:t xml:space="preserve"> Hdhp cost-sharing limits</w:t>
                      </w:r>
                    </w:p>
                    <w:p w:rsidR="008F62F4" w:rsidRDefault="007B7912" w:rsidP="008F62F4">
                      <w:pPr>
                        <w:pStyle w:val="H-Bulletlist"/>
                      </w:pPr>
                      <w:r>
                        <w:t>For 20</w:t>
                      </w:r>
                      <w:r w:rsidR="008A3461">
                        <w:t>20</w:t>
                      </w:r>
                      <w:r>
                        <w:t xml:space="preserve"> plan years, the </w:t>
                      </w:r>
                      <w:r w:rsidRPr="00B24BF5">
                        <w:rPr>
                          <w:b/>
                        </w:rPr>
                        <w:t>minimum deductible</w:t>
                      </w:r>
                      <w:r>
                        <w:t xml:space="preserve"> is $1,</w:t>
                      </w:r>
                      <w:r w:rsidR="008A3461">
                        <w:t>40</w:t>
                      </w:r>
                      <w:r>
                        <w:t>0 for sel</w:t>
                      </w:r>
                      <w:r>
                        <w:t xml:space="preserve">f-only </w:t>
                      </w:r>
                      <w:r w:rsidR="00953A8A">
                        <w:t xml:space="preserve">HDHP </w:t>
                      </w:r>
                      <w:r>
                        <w:t>coverage and $2,</w:t>
                      </w:r>
                      <w:r w:rsidR="008A3461">
                        <w:t>8</w:t>
                      </w:r>
                      <w:r>
                        <w:t xml:space="preserve">00 for family </w:t>
                      </w:r>
                      <w:r w:rsidR="00953A8A">
                        <w:t xml:space="preserve">HDHP </w:t>
                      </w:r>
                      <w:r>
                        <w:t>coverage.</w:t>
                      </w:r>
                    </w:p>
                    <w:p w:rsidR="00B24BF5" w:rsidRDefault="007B7912" w:rsidP="00B24BF5">
                      <w:pPr>
                        <w:pStyle w:val="H-Bulletlist"/>
                      </w:pPr>
                      <w:r>
                        <w:t>For 20</w:t>
                      </w:r>
                      <w:r w:rsidR="008A3461">
                        <w:t>20</w:t>
                      </w:r>
                      <w:r>
                        <w:t xml:space="preserve"> plan years, the </w:t>
                      </w:r>
                      <w:r w:rsidRPr="00B24BF5">
                        <w:rPr>
                          <w:b/>
                        </w:rPr>
                        <w:t>out-of-pocket maximum</w:t>
                      </w:r>
                      <w:r>
                        <w:t xml:space="preserve"> is $6,</w:t>
                      </w:r>
                      <w:r w:rsidR="008A3461">
                        <w:t>90</w:t>
                      </w:r>
                      <w:r>
                        <w:t xml:space="preserve">0 for self-only </w:t>
                      </w:r>
                      <w:r w:rsidR="00953A8A">
                        <w:t xml:space="preserve">HDHP </w:t>
                      </w:r>
                      <w:r>
                        <w:t>coverage and $13,</w:t>
                      </w:r>
                      <w:r w:rsidR="008A3461">
                        <w:t>8</w:t>
                      </w:r>
                      <w:r>
                        <w:t xml:space="preserve">00 for family </w:t>
                      </w:r>
                      <w:r w:rsidR="00953A8A">
                        <w:t xml:space="preserve">HDHP </w:t>
                      </w:r>
                      <w:r>
                        <w:t xml:space="preserve">coverage. </w:t>
                      </w:r>
                    </w:p>
                    <w:p w:rsidR="008F62F4" w:rsidRDefault="008F62F4" w:rsidP="00F9758D">
                      <w:pPr>
                        <w:pStyle w:val="BodyText"/>
                        <w:spacing w:before="120"/>
                      </w:pPr>
                    </w:p>
                    <w:p w:rsidR="008F62F4" w:rsidRDefault="008F62F4" w:rsidP="00F9758D">
                      <w:pPr>
                        <w:pStyle w:val="BodyText"/>
                        <w:spacing w:before="120"/>
                      </w:pPr>
                    </w:p>
                    <w:p w:rsidR="008F62F4" w:rsidRPr="00E66D6F" w:rsidRDefault="008F62F4" w:rsidP="008F62F4">
                      <w:pPr>
                        <w:pStyle w:val="Style1"/>
                      </w:pPr>
                    </w:p>
                    <w:p w:rsidR="008F62F4" w:rsidRPr="00E66D6F" w:rsidRDefault="008F62F4" w:rsidP="00F9758D">
                      <w:pPr>
                        <w:pStyle w:val="BodyText"/>
                        <w:spacing w:before="12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42B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-20320</wp:posOffset>
                </wp:positionV>
                <wp:extent cx="4480560" cy="504190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43ED" w:rsidRPr="00E00FF6" w:rsidRDefault="007B7912" w:rsidP="00E00FF6">
                            <w:pPr>
                              <w:pStyle w:val="MergeField"/>
                              <w:rPr>
                                <w:rStyle w:val="Strong"/>
                                <w:color w:val="4884A2"/>
                              </w:rPr>
                            </w:pPr>
                            <w:r w:rsidRPr="00E00FF6">
                              <w:rPr>
                                <w:rStyle w:val="Strong"/>
                                <w:color w:val="4884A2"/>
                              </w:rPr>
                              <w:t>Provided by IPG / TRG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5.9pt;margin-top:-1.6pt;width:352.8pt;height:3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" filled="f" stroked="f" strokeweight=".5pt">
                <v:textbox style="mso-fit-shape-to-text:t">
                  <w:txbxContent>
                    <w:p w:rsidR="009C43ED" w:rsidRPr="00E00FF6" w:rsidRDefault="007B7912" w:rsidP="00E00FF6">
                      <w:pPr>
                        <w:pStyle w:val="MergeField"/>
                        <w:rPr>
                          <w:rStyle w:val="Strong"/>
                          <w:color w:val="4884A2"/>
                        </w:rPr>
                      </w:pPr>
                      <w:r w:rsidRPr="00E00FF6">
                        <w:rPr>
                          <w:rStyle w:val="Strong"/>
                          <w:color w:val="4884A2"/>
                        </w:rPr>
                        <w:t>Provided by IPG / TRG</w:t>
                      </w:r>
                    </w:p>
                  </w:txbxContent>
                </v:textbox>
              </v:shape>
            </w:pict>
          </mc:Fallback>
        </mc:AlternateContent>
      </w:r>
    </w:p>
    <w:p w:rsidR="00A22068" w:rsidRPr="00E00FF6" w:rsidRDefault="007B7912" w:rsidP="008F62F4">
      <w:pPr>
        <w:pStyle w:val="Title"/>
        <w:spacing w:after="120"/>
      </w:pPr>
      <w:r>
        <w:t>Key HSA Features – 20</w:t>
      </w:r>
      <w:r w:rsidR="00321147">
        <w:t>20</w:t>
      </w:r>
      <w:r w:rsidR="00947E8E">
        <w:t xml:space="preserve"> Compliance</w:t>
      </w:r>
    </w:p>
    <w:p w:rsidR="005127CB" w:rsidRPr="005127CB" w:rsidRDefault="007B7912" w:rsidP="0051312E">
      <w:pPr>
        <w:pStyle w:val="BodyText"/>
        <w:spacing w:before="120" w:after="160"/>
        <w:rPr>
          <w:b/>
        </w:rPr>
      </w:pPr>
      <w:r w:rsidRPr="005127CB">
        <w:t>Health savings accounts (HSAs) are a popular type of tax-advantaged medical savings account available to individuals enrolled in high deductible health plans (HDHPs). Individuals can use their HSAs to pay for expenses covered under the HDHP unt</w:t>
      </w:r>
      <w:r w:rsidRPr="005127CB">
        <w:t>il their deductible has been met, or they can use their HSAs to pay for qualified medical expenses that are not covered under the HDHP,</w:t>
      </w:r>
      <w:r w:rsidR="009C4457">
        <w:t xml:space="preserve"> </w:t>
      </w:r>
      <w:r w:rsidRPr="005127CB">
        <w:t>such as dental or vision expenses.</w:t>
      </w:r>
    </w:p>
    <w:p w:rsidR="005127CB" w:rsidRDefault="007B7912" w:rsidP="0051312E">
      <w:pPr>
        <w:pStyle w:val="BodyText"/>
        <w:spacing w:before="120" w:after="160"/>
      </w:pPr>
      <w:r w:rsidRPr="008F62F4">
        <w:t xml:space="preserve">HSAs provide a triple tax advantage—contributions, </w:t>
      </w:r>
      <w:r w:rsidR="009C4457">
        <w:t xml:space="preserve">interest and </w:t>
      </w:r>
      <w:r w:rsidRPr="008F62F4">
        <w:t>earnings</w:t>
      </w:r>
      <w:r w:rsidR="009C4457">
        <w:t>,</w:t>
      </w:r>
      <w:r w:rsidRPr="008F62F4">
        <w:t xml:space="preserve"> and amounts</w:t>
      </w:r>
      <w:r w:rsidRPr="008F62F4">
        <w:t xml:space="preserve"> distributed for qualified medical expenses are all exempt from federal income tax, Social Security/Medicare tax and most state income taxes. Due to an HSA’s potential tax savings, federal tax law includes str</w:t>
      </w:r>
      <w:r>
        <w:t xml:space="preserve">ict rules for HSAs, including limits on annual </w:t>
      </w:r>
      <w:r>
        <w:t>contributions</w:t>
      </w:r>
      <w:r w:rsidR="00B24BF5">
        <w:t xml:space="preserve"> and HDHP cost sharing. </w:t>
      </w:r>
    </w:p>
    <w:p w:rsidR="008B4B72" w:rsidRDefault="007B7912" w:rsidP="0051312E">
      <w:pPr>
        <w:pStyle w:val="BodyText"/>
        <w:spacing w:before="120" w:after="160"/>
      </w:pPr>
      <w:r w:rsidRPr="00FF278D">
        <w:t xml:space="preserve">This </w:t>
      </w:r>
      <w:r w:rsidR="00E00FF6">
        <w:t>Compliance</w:t>
      </w:r>
      <w:r w:rsidR="00281307">
        <w:t xml:space="preserve"> Overview</w:t>
      </w:r>
      <w:r w:rsidR="008F62F4">
        <w:t xml:space="preserve"> summarizes</w:t>
      </w:r>
      <w:r w:rsidRPr="00FF278D">
        <w:t xml:space="preserve"> </w:t>
      </w:r>
      <w:r w:rsidR="00706CF5">
        <w:t xml:space="preserve">key </w:t>
      </w:r>
      <w:r w:rsidR="001F41F2">
        <w:t>feature</w:t>
      </w:r>
      <w:r w:rsidR="008F62F4">
        <w:t xml:space="preserve">s for HSAs, including the contribution limits for </w:t>
      </w:r>
      <w:r w:rsidR="00655996">
        <w:t>20</w:t>
      </w:r>
      <w:r w:rsidR="00321147">
        <w:t>20</w:t>
      </w:r>
      <w:r w:rsidR="008F62F4">
        <w:t xml:space="preserve">. </w:t>
      </w:r>
    </w:p>
    <w:p w:rsidR="008B4B72" w:rsidRDefault="007B7912" w:rsidP="008F62F4">
      <w:pPr>
        <w:pStyle w:val="BodyText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19050</wp:posOffset>
                </wp:positionH>
                <wp:positionV relativeFrom="page">
                  <wp:posOffset>6553200</wp:posOffset>
                </wp:positionV>
                <wp:extent cx="4114800" cy="1746250"/>
                <wp:effectExtent l="0" t="0" r="0" b="6350"/>
                <wp:wrapTopAndBottom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746250"/>
                        </a:xfrm>
                        <a:prstGeom prst="rect">
                          <a:avLst/>
                        </a:prstGeom>
                        <a:solidFill>
                          <a:srgbClr val="82B0C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97C" w:rsidRPr="007201D3" w:rsidRDefault="007B7912" w:rsidP="007201D3">
                            <w:pPr>
                              <w:pStyle w:val="LR-Heading"/>
                            </w:pPr>
                            <w:r w:rsidRPr="007201D3">
                              <w:t>Links and Resources</w:t>
                            </w:r>
                          </w:p>
                          <w:p w:rsidR="00947E8E" w:rsidRDefault="007B7912" w:rsidP="00655996">
                            <w:pPr>
                              <w:pStyle w:val="LR-BulletList"/>
                              <w:spacing w:after="240"/>
                            </w:pPr>
                            <w:hyperlink r:id="rId12" w:history="1">
                              <w:r w:rsidRPr="00947E8E">
                                <w:rPr>
                                  <w:rStyle w:val="Hyperlink"/>
                                </w:rPr>
                                <w:t>IRS Publication 969</w:t>
                              </w:r>
                            </w:hyperlink>
                            <w:r w:rsidRPr="00947E8E">
                              <w:t>, Health Savings Accounts and Other Tax-favored Health Plans</w:t>
                            </w:r>
                            <w:r w:rsidR="00627361">
                              <w:t>.</w:t>
                            </w:r>
                          </w:p>
                          <w:p w:rsidR="00BD6C50" w:rsidRDefault="007B7912" w:rsidP="008F62F4">
                            <w:pPr>
                              <w:pStyle w:val="LR-BulletList"/>
                            </w:pPr>
                            <w:hyperlink r:id="rId13" w:anchor="REV-PROC-2019-25" w:history="1">
                              <w:r w:rsidRPr="00BD6C50">
                                <w:rPr>
                                  <w:rStyle w:val="Hyperlink"/>
                                </w:rPr>
                                <w:t>IRS Rev. Proc. 201</w:t>
                              </w:r>
                              <w:r w:rsidR="008A3461">
                                <w:rPr>
                                  <w:rStyle w:val="Hyperlink"/>
                                </w:rPr>
                                <w:t>9</w:t>
                              </w:r>
                              <w:r w:rsidRPr="00BD6C50">
                                <w:rPr>
                                  <w:rStyle w:val="Hyperlink"/>
                                </w:rPr>
                                <w:t>-</w:t>
                              </w:r>
                              <w:r w:rsidR="008A3461">
                                <w:rPr>
                                  <w:rStyle w:val="Hyperlink"/>
                                </w:rPr>
                                <w:t>25</w:t>
                              </w:r>
                            </w:hyperlink>
                            <w:r>
                              <w:t>, which includes the inf</w:t>
                            </w:r>
                            <w:r>
                              <w:t>lation-adjusted HSA limits for 20</w:t>
                            </w:r>
                            <w:r w:rsidR="008A3461">
                              <w:t>20</w:t>
                            </w:r>
                            <w:r w:rsidR="00627361"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left:0;text-align:left;margin-left:1.5pt;margin-top:516pt;width:324pt;height:1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" fillcolor="#82b0cc" stroked="f" strokeweight=".5pt">
                <v:fill opacity="13107f"/>
                <v:textbox>
                  <w:txbxContent>
                    <w:p w:rsidR="00D8497C" w:rsidRPr="007201D3" w:rsidRDefault="007B7912" w:rsidP="007201D3">
                      <w:pPr>
                        <w:pStyle w:val="LR-Heading"/>
                      </w:pPr>
                      <w:r w:rsidRPr="007201D3">
                        <w:t>Links and Resources</w:t>
                      </w:r>
                    </w:p>
                    <w:p w:rsidR="00947E8E" w:rsidRDefault="007B7912" w:rsidP="00655996">
                      <w:pPr>
                        <w:pStyle w:val="LR-BulletList"/>
                        <w:spacing w:after="240"/>
                      </w:pPr>
                      <w:hyperlink r:id="rId14" w:history="1">
                        <w:r w:rsidRPr="00947E8E">
                          <w:rPr>
                            <w:rStyle w:val="Hyperlink"/>
                          </w:rPr>
                          <w:t>IRS Publication 969</w:t>
                        </w:r>
                      </w:hyperlink>
                      <w:r w:rsidRPr="00947E8E">
                        <w:t>, Health Savings Accounts and Other Tax-favored Health Plans</w:t>
                      </w:r>
                      <w:r w:rsidR="00627361">
                        <w:t>.</w:t>
                      </w:r>
                    </w:p>
                    <w:p w:rsidR="00BD6C50" w:rsidRDefault="007B7912" w:rsidP="008F62F4">
                      <w:pPr>
                        <w:pStyle w:val="LR-BulletList"/>
                      </w:pPr>
                      <w:hyperlink r:id="rId15" w:anchor="REV-PROC-2019-25" w:history="1">
                        <w:r w:rsidRPr="00BD6C50">
                          <w:rPr>
                            <w:rStyle w:val="Hyperlink"/>
                          </w:rPr>
                          <w:t>IRS Rev. Proc. 201</w:t>
                        </w:r>
                        <w:r w:rsidR="008A3461">
                          <w:rPr>
                            <w:rStyle w:val="Hyperlink"/>
                          </w:rPr>
                          <w:t>9</w:t>
                        </w:r>
                        <w:r w:rsidRPr="00BD6C50">
                          <w:rPr>
                            <w:rStyle w:val="Hyperlink"/>
                          </w:rPr>
                          <w:t>-</w:t>
                        </w:r>
                        <w:r w:rsidR="008A3461">
                          <w:rPr>
                            <w:rStyle w:val="Hyperlink"/>
                          </w:rPr>
                          <w:t>25</w:t>
                        </w:r>
                      </w:hyperlink>
                      <w:r>
                        <w:t>, which includes the inf</w:t>
                      </w:r>
                      <w:r>
                        <w:t>lation-adjusted HSA limits for 20</w:t>
                      </w:r>
                      <w:r w:rsidR="008A3461">
                        <w:t>20</w:t>
                      </w:r>
                      <w:r w:rsidR="00627361">
                        <w:t>.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8B4B72" w:rsidRDefault="008B4B72" w:rsidP="008F62F4">
      <w:pPr>
        <w:pStyle w:val="BodyText"/>
        <w:spacing w:before="120"/>
        <w:sectPr w:rsidR="008B4B72" w:rsidSect="00451D29">
          <w:headerReference w:type="default" r:id="rId16"/>
          <w:footerReference w:type="default" r:id="rId17"/>
          <w:type w:val="continuous"/>
          <w:pgSz w:w="12240" w:h="15840"/>
          <w:pgMar w:top="1620" w:right="720" w:bottom="720" w:left="720" w:header="720" w:footer="389" w:gutter="0"/>
          <w:cols w:space="720"/>
          <w:docGrid w:linePitch="360"/>
        </w:sectPr>
      </w:pPr>
    </w:p>
    <w:p w:rsidR="00777803" w:rsidRDefault="00777803" w:rsidP="008B4B72">
      <w:pPr>
        <w:pStyle w:val="BodyText"/>
        <w:tabs>
          <w:tab w:val="left" w:pos="-630"/>
        </w:tabs>
        <w:spacing w:before="0" w:after="0"/>
        <w:ind w:hanging="720"/>
        <w:jc w:val="left"/>
      </w:pPr>
    </w:p>
    <w:tbl>
      <w:tblPr>
        <w:tblW w:w="10800" w:type="dxa"/>
        <w:tblInd w:w="-720" w:type="dxa"/>
        <w:tblBorders>
          <w:insideH w:val="single" w:sz="18" w:space="0" w:color="FFFFFF" w:themeColor="background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8640"/>
      </w:tblGrid>
      <w:tr w:rsidR="00634780" w:rsidTr="007E5C32">
        <w:trPr>
          <w:trHeight w:val="253"/>
        </w:trPr>
        <w:tc>
          <w:tcPr>
            <w:tcW w:w="10800" w:type="dxa"/>
            <w:gridSpan w:val="2"/>
            <w:shd w:val="clear" w:color="auto" w:fill="E5874D"/>
            <w:vAlign w:val="center"/>
          </w:tcPr>
          <w:p w:rsidR="008B4B72" w:rsidRPr="00FF0461" w:rsidRDefault="007B7912" w:rsidP="00BD6CDF">
            <w:pPr>
              <w:pStyle w:val="T-Heading"/>
              <w:spacing w:before="0" w:after="0"/>
              <w:rPr>
                <w:b w:val="0"/>
                <w:szCs w:val="28"/>
              </w:rPr>
            </w:pPr>
            <w:r>
              <w:lastRenderedPageBreak/>
              <w:t xml:space="preserve">HSA </w:t>
            </w:r>
            <w:r>
              <w:rPr>
                <w:color w:val="FFFFFF" w:themeColor="background1"/>
                <w:szCs w:val="28"/>
              </w:rPr>
              <w:t>Key Features</w:t>
            </w:r>
          </w:p>
        </w:tc>
      </w:tr>
      <w:tr w:rsidR="00634780" w:rsidTr="007E5C32">
        <w:trPr>
          <w:trHeight w:val="249"/>
        </w:trPr>
        <w:tc>
          <w:tcPr>
            <w:tcW w:w="10800" w:type="dxa"/>
            <w:gridSpan w:val="2"/>
            <w:shd w:val="clear" w:color="auto" w:fill="A6A6A6" w:themeFill="background1" w:themeFillShade="A6"/>
          </w:tcPr>
          <w:p w:rsidR="008B4B72" w:rsidRPr="00B24BF5" w:rsidRDefault="007B7912" w:rsidP="00BD6CDF">
            <w:pPr>
              <w:pStyle w:val="T-Text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B24BF5">
              <w:rPr>
                <w:b/>
                <w:color w:val="FFFFFF" w:themeColor="background1"/>
                <w:sz w:val="24"/>
                <w:szCs w:val="24"/>
              </w:rPr>
              <w:t>OVERVIEW</w:t>
            </w:r>
          </w:p>
        </w:tc>
      </w:tr>
      <w:tr w:rsidR="00634780" w:rsidTr="00BD6CDF">
        <w:trPr>
          <w:trHeight w:val="249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pStyle w:val="BodyText"/>
              <w:spacing w:before="60" w:after="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t>Account Description</w:t>
            </w:r>
          </w:p>
        </w:tc>
        <w:tc>
          <w:tcPr>
            <w:tcW w:w="8640" w:type="dxa"/>
            <w:shd w:val="clear" w:color="auto" w:fill="EDEDED" w:themeFill="accent3" w:themeFillTint="33"/>
          </w:tcPr>
          <w:p w:rsidR="008B4B72" w:rsidRDefault="007B7912" w:rsidP="00BD6CDF">
            <w:pPr>
              <w:pStyle w:val="BodyText"/>
              <w:spacing w:before="60" w:after="60"/>
            </w:pPr>
            <w:r w:rsidRPr="00F577B0">
              <w:t>Tax-exempt trust or custodial account established by an eligible individual to pay for qualified medical expenses</w:t>
            </w:r>
            <w:r>
              <w:t>.</w:t>
            </w:r>
          </w:p>
        </w:tc>
      </w:tr>
      <w:tr w:rsidR="00634780" w:rsidTr="00BD6CDF">
        <w:trPr>
          <w:trHeight w:val="267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pStyle w:val="BodyText"/>
              <w:spacing w:before="60" w:after="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Important Reminders for 20</w:t>
            </w:r>
            <w:r w:rsidR="008A3461"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  <w:tc>
          <w:tcPr>
            <w:tcW w:w="8640" w:type="dxa"/>
            <w:shd w:val="clear" w:color="auto" w:fill="EDEDED" w:themeFill="accent3" w:themeFillTint="33"/>
          </w:tcPr>
          <w:p w:rsidR="008B4B72" w:rsidRDefault="007B7912" w:rsidP="00BD6CDF">
            <w:pPr>
              <w:pStyle w:val="BodyText"/>
              <w:spacing w:before="60" w:after="60"/>
            </w:pPr>
            <w:r w:rsidRPr="00804CE3">
              <w:t>New</w:t>
            </w:r>
            <w:r w:rsidRPr="00681DFF">
              <w:rPr>
                <w:b/>
              </w:rPr>
              <w:t xml:space="preserve"> </w:t>
            </w:r>
            <w:r w:rsidRPr="009F0A8A">
              <w:t>a</w:t>
            </w:r>
            <w:r w:rsidRPr="00C4408C">
              <w:t>nnual limits on contributions apply</w:t>
            </w:r>
            <w:r>
              <w:t>.</w:t>
            </w:r>
            <w:r w:rsidR="00655996">
              <w:t xml:space="preserve"> Also, the maximum out-of-pocket expense</w:t>
            </w:r>
            <w:r w:rsidR="008A3461">
              <w:t xml:space="preserve"> limit and minimum deductible amount</w:t>
            </w:r>
            <w:r w:rsidR="00655996">
              <w:t xml:space="preserve"> for HDHPs increase for plan years beginning on or after Jan. 1, 20</w:t>
            </w:r>
            <w:r w:rsidR="008A3461">
              <w:t xml:space="preserve">20. </w:t>
            </w:r>
          </w:p>
        </w:tc>
      </w:tr>
      <w:tr w:rsidR="00634780" w:rsidTr="00BD6CDF">
        <w:trPr>
          <w:trHeight w:val="267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t>Potential Tax Benefits for Employees</w:t>
            </w:r>
          </w:p>
        </w:tc>
        <w:tc>
          <w:tcPr>
            <w:tcW w:w="8640" w:type="dxa"/>
            <w:shd w:val="clear" w:color="auto" w:fill="EDEDED" w:themeFill="accent3" w:themeFillTint="33"/>
            <w:vAlign w:val="center"/>
          </w:tcPr>
          <w:p w:rsidR="008B4B72" w:rsidRDefault="007B7912" w:rsidP="00BD6CDF">
            <w:pPr>
              <w:pStyle w:val="H-Bulletlist"/>
              <w:spacing w:before="60" w:after="60"/>
            </w:pPr>
            <w:r w:rsidRPr="00FF0461">
              <w:t xml:space="preserve">Employee contributions are either tax-deductible or </w:t>
            </w:r>
            <w:r w:rsidRPr="00F6285E">
              <w:t>pre-tax</w:t>
            </w:r>
            <w:r w:rsidRPr="00FF0461">
              <w:t xml:space="preserve"> (if made by salary reduction)</w:t>
            </w:r>
            <w:r>
              <w:t>.</w:t>
            </w:r>
          </w:p>
          <w:p w:rsidR="008B4B72" w:rsidRDefault="007B7912" w:rsidP="00BD6CDF">
            <w:pPr>
              <w:pStyle w:val="H-Bulletlist"/>
              <w:spacing w:before="60" w:after="60"/>
            </w:pPr>
            <w:r w:rsidRPr="00FF0461">
              <w:t>Employer contributions are excluded from gross income and are generally not subject to employment taxes</w:t>
            </w:r>
            <w:r>
              <w:t>.</w:t>
            </w:r>
          </w:p>
          <w:p w:rsidR="008B4B72" w:rsidRDefault="007B7912" w:rsidP="00BD6CDF">
            <w:pPr>
              <w:pStyle w:val="H-Bulletlist"/>
              <w:spacing w:before="60" w:after="60"/>
            </w:pPr>
            <w:r>
              <w:t>Interest or e</w:t>
            </w:r>
            <w:r w:rsidRPr="00FF0461">
              <w:t>arnings on amounts in an HSA are not includable</w:t>
            </w:r>
            <w:r w:rsidRPr="00FF0461">
              <w:t xml:space="preserve"> in gross income while held in the HSA</w:t>
            </w:r>
            <w:r>
              <w:t>.</w:t>
            </w:r>
          </w:p>
          <w:p w:rsidR="008B4B72" w:rsidRPr="007201D3" w:rsidRDefault="007B7912" w:rsidP="00BD6CDF">
            <w:pPr>
              <w:pStyle w:val="H-Bulletlist"/>
              <w:spacing w:before="60" w:after="60"/>
            </w:pPr>
            <w:r>
              <w:t>T</w:t>
            </w:r>
            <w:r w:rsidRPr="00FF0461">
              <w:t>ax-free distributions to pay for qualified medical expenses</w:t>
            </w:r>
            <w:r>
              <w:t>.</w:t>
            </w:r>
          </w:p>
        </w:tc>
      </w:tr>
      <w:tr w:rsidR="00634780" w:rsidTr="007E5C32">
        <w:trPr>
          <w:trHeight w:val="267"/>
        </w:trPr>
        <w:tc>
          <w:tcPr>
            <w:tcW w:w="10800" w:type="dxa"/>
            <w:gridSpan w:val="2"/>
            <w:shd w:val="clear" w:color="auto" w:fill="A6A6A6" w:themeFill="background1" w:themeFillShade="A6"/>
            <w:vAlign w:val="center"/>
          </w:tcPr>
          <w:p w:rsidR="008B4B72" w:rsidRPr="00B24BF5" w:rsidRDefault="007B7912" w:rsidP="00BD6CDF">
            <w:pPr>
              <w:pStyle w:val="T-Text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B24BF5">
              <w:rPr>
                <w:b/>
                <w:color w:val="FFFFFF" w:themeColor="background1"/>
                <w:sz w:val="24"/>
                <w:szCs w:val="24"/>
              </w:rPr>
              <w:t>EMPLOYEE ELIGIBILITY</w:t>
            </w:r>
          </w:p>
        </w:tc>
      </w:tr>
      <w:tr w:rsidR="00634780" w:rsidTr="00BD6CDF">
        <w:trPr>
          <w:trHeight w:val="267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t>Who May Participate</w:t>
            </w:r>
          </w:p>
        </w:tc>
        <w:tc>
          <w:tcPr>
            <w:tcW w:w="8640" w:type="dxa"/>
            <w:shd w:val="clear" w:color="auto" w:fill="EDEDED" w:themeFill="accent3" w:themeFillTint="33"/>
            <w:vAlign w:val="center"/>
          </w:tcPr>
          <w:p w:rsidR="008B4B72" w:rsidRDefault="007B7912" w:rsidP="00BD6CDF">
            <w:pPr>
              <w:pStyle w:val="BodyText"/>
              <w:spacing w:before="60" w:after="60"/>
            </w:pPr>
            <w:r w:rsidRPr="00706CF5">
              <w:t xml:space="preserve">An individual is eligible to establish </w:t>
            </w:r>
            <w:r>
              <w:t xml:space="preserve">and contribute to </w:t>
            </w:r>
            <w:r w:rsidRPr="00706CF5">
              <w:t xml:space="preserve">an HSA if he or she: </w:t>
            </w:r>
          </w:p>
          <w:p w:rsidR="008B4B72" w:rsidRDefault="007B7912" w:rsidP="00BD6CDF">
            <w:pPr>
              <w:pStyle w:val="BulletList"/>
              <w:spacing w:before="60" w:after="60"/>
            </w:pPr>
            <w:r w:rsidRPr="00706CF5">
              <w:t>Is covered under a</w:t>
            </w:r>
            <w:r>
              <w:t>n</w:t>
            </w:r>
            <w:r w:rsidRPr="00706CF5">
              <w:t xml:space="preserve"> HDHP</w:t>
            </w:r>
            <w:r>
              <w:t>;</w:t>
            </w:r>
            <w:r w:rsidRPr="00706CF5">
              <w:t xml:space="preserve"> </w:t>
            </w:r>
          </w:p>
          <w:p w:rsidR="008B4B72" w:rsidRDefault="007B7912" w:rsidP="00BD6CDF">
            <w:pPr>
              <w:pStyle w:val="BulletList"/>
              <w:spacing w:before="60" w:after="60"/>
            </w:pPr>
            <w:r w:rsidRPr="00706CF5">
              <w:t xml:space="preserve">Is not covered by any other health plan that is not an HDHP (including coverage in a </w:t>
            </w:r>
            <w:r w:rsidR="00426F86" w:rsidRPr="00706CF5">
              <w:t>general-purpose</w:t>
            </w:r>
            <w:r w:rsidRPr="00706CF5">
              <w:t xml:space="preserve"> health FSA solely as a result of unused carry</w:t>
            </w:r>
            <w:r>
              <w:t>-</w:t>
            </w:r>
            <w:r w:rsidRPr="00706CF5">
              <w:t>over amounts from the prior year), except for certain limited types of coverage</w:t>
            </w:r>
            <w:r>
              <w:t>;</w:t>
            </w:r>
            <w:r w:rsidRPr="00706CF5">
              <w:t xml:space="preserve"> </w:t>
            </w:r>
          </w:p>
          <w:p w:rsidR="008B4B72" w:rsidRDefault="007B7912" w:rsidP="00BD6CDF">
            <w:pPr>
              <w:pStyle w:val="BulletList"/>
              <w:spacing w:before="60" w:after="60"/>
            </w:pPr>
            <w:r>
              <w:t>Is not enrolled in Medicare</w:t>
            </w:r>
            <w:r>
              <w:t>; and</w:t>
            </w:r>
          </w:p>
          <w:p w:rsidR="008B4B72" w:rsidRPr="00FF0461" w:rsidRDefault="007B7912" w:rsidP="00BD6CDF">
            <w:pPr>
              <w:pStyle w:val="BulletList"/>
              <w:spacing w:before="60" w:after="60"/>
            </w:pPr>
            <w:r w:rsidRPr="00706CF5">
              <w:t>May not be claimed as a dependent on another person's</w:t>
            </w:r>
            <w:r>
              <w:t xml:space="preserve"> </w:t>
            </w:r>
            <w:r w:rsidRPr="00706CF5">
              <w:t>income tax return</w:t>
            </w:r>
            <w:r>
              <w:t>.</w:t>
            </w:r>
          </w:p>
        </w:tc>
      </w:tr>
      <w:tr w:rsidR="00634780" w:rsidTr="00BD6CDF">
        <w:trPr>
          <w:trHeight w:val="267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t>HDHP Coverage Required</w:t>
            </w:r>
          </w:p>
          <w:p w:rsidR="008B4B72" w:rsidRPr="008D635C" w:rsidRDefault="008B4B72" w:rsidP="00BD6CDF">
            <w:pPr>
              <w:spacing w:before="60" w:after="60" w:line="240" w:lineRule="auto"/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</w:p>
          <w:p w:rsidR="008B4B72" w:rsidRPr="008D635C" w:rsidRDefault="008B4B72" w:rsidP="00BD6CDF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EDEDED" w:themeFill="accent3" w:themeFillTint="33"/>
            <w:vAlign w:val="center"/>
          </w:tcPr>
          <w:p w:rsidR="008B4B72" w:rsidRDefault="007B7912" w:rsidP="00BD6CDF">
            <w:pPr>
              <w:pStyle w:val="BodyText"/>
              <w:spacing w:before="60" w:after="60"/>
            </w:pPr>
            <w:r>
              <w:t xml:space="preserve">HDHP coverage is required. </w:t>
            </w:r>
            <w:r w:rsidR="00655996">
              <w:t>For 20</w:t>
            </w:r>
            <w:r w:rsidR="008A3461">
              <w:t>20</w:t>
            </w:r>
            <w:r w:rsidRPr="00706CF5">
              <w:t xml:space="preserve">, the minimum annual deductible is </w:t>
            </w:r>
            <w:r w:rsidRPr="00681DFF">
              <w:rPr>
                <w:b/>
              </w:rPr>
              <w:t>$1,</w:t>
            </w:r>
            <w:r w:rsidR="008A3461">
              <w:rPr>
                <w:b/>
              </w:rPr>
              <w:t>40</w:t>
            </w:r>
            <w:r w:rsidRPr="00681DFF">
              <w:rPr>
                <w:b/>
              </w:rPr>
              <w:t>0</w:t>
            </w:r>
            <w:r w:rsidRPr="00706CF5">
              <w:t xml:space="preserve"> for</w:t>
            </w:r>
            <w:r>
              <w:t xml:space="preserve"> </w:t>
            </w:r>
            <w:r w:rsidRPr="00706CF5">
              <w:t xml:space="preserve">self-only coverage or </w:t>
            </w:r>
            <w:r w:rsidRPr="00681DFF">
              <w:rPr>
                <w:b/>
              </w:rPr>
              <w:t>$2,</w:t>
            </w:r>
            <w:r w:rsidR="008A3461">
              <w:rPr>
                <w:b/>
              </w:rPr>
              <w:t>8</w:t>
            </w:r>
            <w:r w:rsidRPr="00681DFF">
              <w:rPr>
                <w:b/>
              </w:rPr>
              <w:t>00</w:t>
            </w:r>
            <w:r w:rsidRPr="00706CF5">
              <w:t xml:space="preserve"> for family coverage. The maximum deductible and other out-of-pocket expenses</w:t>
            </w:r>
            <w:r>
              <w:t xml:space="preserve"> </w:t>
            </w:r>
            <w:r w:rsidRPr="00706CF5">
              <w:t>(excluding premiums)</w:t>
            </w:r>
            <w:r>
              <w:t xml:space="preserve"> </w:t>
            </w:r>
            <w:r w:rsidRPr="00706CF5">
              <w:t xml:space="preserve">is </w:t>
            </w:r>
            <w:r w:rsidR="00655996">
              <w:rPr>
                <w:b/>
              </w:rPr>
              <w:t>$6,</w:t>
            </w:r>
            <w:r w:rsidR="008A3461">
              <w:rPr>
                <w:b/>
              </w:rPr>
              <w:t>90</w:t>
            </w:r>
            <w:r w:rsidRPr="00681DFF">
              <w:rPr>
                <w:b/>
              </w:rPr>
              <w:t>0</w:t>
            </w:r>
            <w:r w:rsidRPr="00706CF5">
              <w:t xml:space="preserve"> for</w:t>
            </w:r>
            <w:r>
              <w:t xml:space="preserve"> </w:t>
            </w:r>
            <w:r w:rsidRPr="00706CF5">
              <w:t xml:space="preserve">self-only coverage or </w:t>
            </w:r>
            <w:r w:rsidR="00655996">
              <w:rPr>
                <w:b/>
              </w:rPr>
              <w:t>$13,</w:t>
            </w:r>
            <w:r w:rsidR="008A3461">
              <w:rPr>
                <w:b/>
              </w:rPr>
              <w:t>8</w:t>
            </w:r>
            <w:r w:rsidRPr="00681DFF">
              <w:rPr>
                <w:b/>
              </w:rPr>
              <w:t>00</w:t>
            </w:r>
            <w:r>
              <w:t xml:space="preserve"> for family coverage. </w:t>
            </w:r>
          </w:p>
          <w:p w:rsidR="008B4B72" w:rsidRDefault="007B7912" w:rsidP="00BD6CDF">
            <w:pPr>
              <w:pStyle w:val="BodyText"/>
              <w:spacing w:before="60" w:after="60"/>
            </w:pPr>
            <w:r>
              <w:t>N</w:t>
            </w:r>
            <w:r w:rsidRPr="00F6285E">
              <w:t>on-</w:t>
            </w:r>
            <w:r w:rsidRPr="00706CF5">
              <w:t>grandfathered HDHPs must also apply the self-only cost-sharing limit for coverage of es</w:t>
            </w:r>
            <w:r w:rsidRPr="00706CF5">
              <w:t>sential health benefits provided in</w:t>
            </w:r>
            <w:r>
              <w:t xml:space="preserve"> </w:t>
            </w:r>
            <w:r w:rsidRPr="00706CF5">
              <w:t xml:space="preserve">network </w:t>
            </w:r>
            <w:r w:rsidRPr="00681DFF">
              <w:t>(</w:t>
            </w:r>
            <w:r w:rsidR="00655996">
              <w:rPr>
                <w:b/>
              </w:rPr>
              <w:t>$</w:t>
            </w:r>
            <w:r w:rsidR="008A3461">
              <w:rPr>
                <w:b/>
              </w:rPr>
              <w:t>8,150</w:t>
            </w:r>
            <w:r w:rsidR="00655996">
              <w:rPr>
                <w:b/>
              </w:rPr>
              <w:t xml:space="preserve"> in 20</w:t>
            </w:r>
            <w:r w:rsidR="008A3461">
              <w:rPr>
                <w:b/>
              </w:rPr>
              <w:t>20</w:t>
            </w:r>
            <w:r w:rsidRPr="00706CF5">
              <w:t>)</w:t>
            </w:r>
            <w:r>
              <w:t xml:space="preserve"> </w:t>
            </w:r>
            <w:r w:rsidRPr="00706CF5">
              <w:t xml:space="preserve">to </w:t>
            </w:r>
            <w:proofErr w:type="gramStart"/>
            <w:r w:rsidRPr="00B24BF5">
              <w:t>each individual</w:t>
            </w:r>
            <w:proofErr w:type="gramEnd"/>
            <w:r w:rsidRPr="00706CF5">
              <w:t xml:space="preserve"> covered under the plan, even if this amount is below the family deductible lim</w:t>
            </w:r>
            <w:r>
              <w:t xml:space="preserve">it. </w:t>
            </w:r>
          </w:p>
          <w:p w:rsidR="008B4B72" w:rsidRPr="00FF0461" w:rsidRDefault="007B7912" w:rsidP="00BD6CDF">
            <w:pPr>
              <w:pStyle w:val="BodyText"/>
              <w:spacing w:before="60" w:after="60"/>
            </w:pPr>
            <w:r>
              <w:rPr>
                <w:b/>
                <w:i/>
                <w:color w:val="767171"/>
              </w:rPr>
              <w:t xml:space="preserve">Note: </w:t>
            </w:r>
            <w:r w:rsidRPr="00681DFF">
              <w:rPr>
                <w:color w:val="767171"/>
              </w:rPr>
              <w:t>A health plan that provides certain preventive health services without a deductible, as</w:t>
            </w:r>
            <w:r w:rsidRPr="00681DFF">
              <w:rPr>
                <w:color w:val="767171"/>
              </w:rPr>
              <w:t xml:space="preserve"> r</w:t>
            </w:r>
            <w:r>
              <w:rPr>
                <w:color w:val="767171"/>
              </w:rPr>
              <w:t>equired by the Affordable Care Act</w:t>
            </w:r>
            <w:r w:rsidRPr="00681DFF">
              <w:rPr>
                <w:color w:val="767171"/>
              </w:rPr>
              <w:t>, may still qualify as an HDHP</w:t>
            </w:r>
            <w:r>
              <w:rPr>
                <w:color w:val="767171"/>
              </w:rPr>
              <w:t xml:space="preserve">. </w:t>
            </w:r>
          </w:p>
        </w:tc>
      </w:tr>
    </w:tbl>
    <w:p w:rsidR="00BD6CDF" w:rsidRDefault="007B7912">
      <w:r>
        <w:br w:type="page"/>
      </w:r>
    </w:p>
    <w:tbl>
      <w:tblPr>
        <w:tblW w:w="10800" w:type="dxa"/>
        <w:tblInd w:w="-720" w:type="dxa"/>
        <w:tblBorders>
          <w:insideH w:val="single" w:sz="18" w:space="0" w:color="FFFFFF" w:themeColor="background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8640"/>
      </w:tblGrid>
      <w:tr w:rsidR="00634780" w:rsidTr="007E5C32">
        <w:trPr>
          <w:trHeight w:val="267"/>
        </w:trPr>
        <w:tc>
          <w:tcPr>
            <w:tcW w:w="10800" w:type="dxa"/>
            <w:gridSpan w:val="2"/>
            <w:shd w:val="clear" w:color="auto" w:fill="A6A6A6" w:themeFill="background1" w:themeFillShade="A6"/>
            <w:vAlign w:val="center"/>
          </w:tcPr>
          <w:p w:rsidR="008B4B72" w:rsidRPr="008D635C" w:rsidRDefault="007B7912" w:rsidP="00BD6CDF">
            <w:pPr>
              <w:pStyle w:val="T-Text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lastRenderedPageBreak/>
              <w:t>CONTRIBUTIONS</w:t>
            </w:r>
          </w:p>
        </w:tc>
      </w:tr>
      <w:tr w:rsidR="00634780" w:rsidTr="00BD6CDF">
        <w:trPr>
          <w:trHeight w:val="267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spacing w:before="40" w:after="6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t>Who May Contribute</w:t>
            </w:r>
          </w:p>
        </w:tc>
        <w:tc>
          <w:tcPr>
            <w:tcW w:w="8640" w:type="dxa"/>
            <w:shd w:val="clear" w:color="auto" w:fill="EDEDED" w:themeFill="accent3" w:themeFillTint="33"/>
            <w:vAlign w:val="center"/>
          </w:tcPr>
          <w:p w:rsidR="008B4B72" w:rsidRPr="00FF0461" w:rsidRDefault="007B7912" w:rsidP="00BD6CDF">
            <w:pPr>
              <w:pStyle w:val="BodyText"/>
              <w:spacing w:before="60" w:after="60"/>
            </w:pPr>
            <w:r w:rsidRPr="004B0030">
              <w:t>The employee, the employer</w:t>
            </w:r>
            <w:r w:rsidRPr="00F6285E">
              <w:t>, or</w:t>
            </w:r>
            <w:r w:rsidRPr="004B0030">
              <w:t xml:space="preserve"> both may contribute (family members or any other person may also contribute)</w:t>
            </w:r>
            <w:r>
              <w:t xml:space="preserve">. </w:t>
            </w:r>
          </w:p>
        </w:tc>
      </w:tr>
      <w:tr w:rsidR="00634780" w:rsidTr="00BD6CDF">
        <w:trPr>
          <w:trHeight w:val="267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spacing w:before="40" w:after="6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6285E">
              <w:rPr>
                <w:b/>
                <w:color w:val="FFFFFF" w:themeColor="background1"/>
                <w:sz w:val="24"/>
                <w:szCs w:val="24"/>
              </w:rPr>
              <w:t>Pre-tax</w:t>
            </w:r>
            <w:r w:rsidRPr="008D635C">
              <w:rPr>
                <w:b/>
                <w:color w:val="FFFFFF" w:themeColor="background1"/>
                <w:sz w:val="24"/>
                <w:szCs w:val="24"/>
              </w:rPr>
              <w:t xml:space="preserve"> Employee Contribution Allowed</w:t>
            </w:r>
          </w:p>
        </w:tc>
        <w:tc>
          <w:tcPr>
            <w:tcW w:w="8640" w:type="dxa"/>
            <w:shd w:val="clear" w:color="auto" w:fill="EDEDED" w:themeFill="accent3" w:themeFillTint="33"/>
            <w:vAlign w:val="center"/>
          </w:tcPr>
          <w:p w:rsidR="008B4B72" w:rsidRPr="00FF0461" w:rsidRDefault="007B7912" w:rsidP="00BD6CDF">
            <w:pPr>
              <w:pStyle w:val="BodyText"/>
              <w:spacing w:before="60" w:after="60"/>
            </w:pPr>
            <w:r w:rsidRPr="004B0030">
              <w:t>Yes, contributions can be made thr</w:t>
            </w:r>
            <w:r>
              <w:t xml:space="preserve">ough employee salary reductions </w:t>
            </w:r>
            <w:r w:rsidRPr="004B0030">
              <w:t>under a cafeteria plan</w:t>
            </w:r>
            <w:r>
              <w:t xml:space="preserve">. </w:t>
            </w:r>
          </w:p>
        </w:tc>
      </w:tr>
      <w:tr w:rsidR="00634780" w:rsidTr="00BD6CDF">
        <w:trPr>
          <w:trHeight w:val="267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spacing w:before="40" w:after="6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t>Limit on Contributions</w:t>
            </w:r>
          </w:p>
        </w:tc>
        <w:tc>
          <w:tcPr>
            <w:tcW w:w="8640" w:type="dxa"/>
            <w:shd w:val="clear" w:color="auto" w:fill="EDEDED" w:themeFill="accent3" w:themeFillTint="33"/>
            <w:vAlign w:val="center"/>
          </w:tcPr>
          <w:p w:rsidR="008B4B72" w:rsidRPr="00FF0461" w:rsidRDefault="007B7912" w:rsidP="00BD6CDF">
            <w:pPr>
              <w:pStyle w:val="BodyText"/>
              <w:spacing w:before="60" w:after="60"/>
            </w:pPr>
            <w:r>
              <w:t xml:space="preserve">Yes, there are limits </w:t>
            </w:r>
            <w:r>
              <w:t xml:space="preserve">on how much can be contributed to an HSA each year. </w:t>
            </w:r>
            <w:r w:rsidRPr="004B0030">
              <w:t>For 20</w:t>
            </w:r>
            <w:r w:rsidR="00BD6CDF">
              <w:t>20</w:t>
            </w:r>
            <w:r w:rsidRPr="004B0030">
              <w:t xml:space="preserve">, the maximum contribution is </w:t>
            </w:r>
            <w:r w:rsidR="00655996">
              <w:rPr>
                <w:b/>
              </w:rPr>
              <w:t>$3,</w:t>
            </w:r>
            <w:r w:rsidRPr="00681DFF">
              <w:rPr>
                <w:b/>
              </w:rPr>
              <w:t>5</w:t>
            </w:r>
            <w:r w:rsidR="00BD6CDF">
              <w:rPr>
                <w:b/>
              </w:rPr>
              <w:t>5</w:t>
            </w:r>
            <w:r w:rsidRPr="00681DFF">
              <w:rPr>
                <w:b/>
              </w:rPr>
              <w:t>0</w:t>
            </w:r>
            <w:r w:rsidRPr="004B0030">
              <w:t xml:space="preserve"> for self-only coverage or </w:t>
            </w:r>
            <w:r w:rsidR="00655996">
              <w:rPr>
                <w:b/>
              </w:rPr>
              <w:t>$7,</w:t>
            </w:r>
            <w:r w:rsidR="00BD6CDF">
              <w:rPr>
                <w:b/>
              </w:rPr>
              <w:t>1</w:t>
            </w:r>
            <w:r w:rsidR="00655996">
              <w:rPr>
                <w:b/>
              </w:rPr>
              <w:t xml:space="preserve">00 </w:t>
            </w:r>
            <w:r w:rsidRPr="004B0030">
              <w:t>for family coverage. The limit is increased by $1,000 for eligible individuals age 55 or o</w:t>
            </w:r>
            <w:r>
              <w:t xml:space="preserve">lder at the end of the tax year. </w:t>
            </w:r>
          </w:p>
        </w:tc>
      </w:tr>
      <w:tr w:rsidR="00634780" w:rsidTr="00BD6CDF">
        <w:trPr>
          <w:trHeight w:val="249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spacing w:before="40" w:after="6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8D635C">
              <w:rPr>
                <w:b/>
                <w:color w:val="FFFFFF" w:themeColor="background1"/>
                <w:sz w:val="24"/>
                <w:szCs w:val="24"/>
              </w:rPr>
              <w:t>mployer Participation</w:t>
            </w:r>
          </w:p>
        </w:tc>
        <w:tc>
          <w:tcPr>
            <w:tcW w:w="8640" w:type="dxa"/>
            <w:shd w:val="clear" w:color="auto" w:fill="EDEDED" w:themeFill="accent3" w:themeFillTint="33"/>
            <w:vAlign w:val="center"/>
          </w:tcPr>
          <w:p w:rsidR="008B4B72" w:rsidRPr="007201D3" w:rsidRDefault="007B7912" w:rsidP="00BD6CDF">
            <w:pPr>
              <w:pStyle w:val="BodyText"/>
              <w:spacing w:before="60" w:after="60"/>
              <w:rPr>
                <w:color w:val="767171"/>
              </w:rPr>
            </w:pPr>
            <w:r w:rsidRPr="009F0A8A">
              <w:t>Employer contributions made through a cafeteria plan are subject to</w:t>
            </w:r>
            <w:r w:rsidRPr="004B0030">
              <w:rPr>
                <w:color w:val="767171"/>
              </w:rPr>
              <w:t xml:space="preserve"> </w:t>
            </w:r>
            <w:r w:rsidRPr="009F0A8A">
              <w:t xml:space="preserve">the </w:t>
            </w:r>
            <w:hyperlink r:id="rId18" w:history="1">
              <w:r>
                <w:rPr>
                  <w:rStyle w:val="Hyperlink"/>
                </w:rPr>
                <w:t>Section 125</w:t>
              </w:r>
            </w:hyperlink>
            <w:r w:rsidRPr="004B0030">
              <w:rPr>
                <w:color w:val="767171"/>
              </w:rPr>
              <w:t xml:space="preserve"> </w:t>
            </w:r>
            <w:r w:rsidRPr="009F0A8A">
              <w:t>nondiscrimination requirements. All other employer contributions are subject to the "com</w:t>
            </w:r>
            <w:r w:rsidRPr="009F0A8A">
              <w:t xml:space="preserve">parability rules," meaning that the employer must make comparable contributions to all comparable participating employees' HSAs. </w:t>
            </w:r>
          </w:p>
        </w:tc>
      </w:tr>
      <w:tr w:rsidR="00634780" w:rsidTr="007E5C32">
        <w:trPr>
          <w:trHeight w:val="249"/>
        </w:trPr>
        <w:tc>
          <w:tcPr>
            <w:tcW w:w="10800" w:type="dxa"/>
            <w:gridSpan w:val="2"/>
            <w:shd w:val="clear" w:color="auto" w:fill="A6A6A6" w:themeFill="background1" w:themeFillShade="A6"/>
            <w:vAlign w:val="center"/>
          </w:tcPr>
          <w:p w:rsidR="008B4B72" w:rsidRPr="008D635C" w:rsidRDefault="007B7912" w:rsidP="00BD6CDF">
            <w:pPr>
              <w:pStyle w:val="H-Bulletlist"/>
              <w:numPr>
                <w:ilvl w:val="0"/>
                <w:numId w:val="0"/>
              </w:numPr>
              <w:spacing w:before="0" w:after="0"/>
              <w:ind w:left="273" w:hanging="187"/>
              <w:jc w:val="center"/>
              <w:rPr>
                <w:b/>
                <w:color w:val="76717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t>DISTRIBUTIONS</w:t>
            </w:r>
          </w:p>
        </w:tc>
      </w:tr>
      <w:tr w:rsidR="00634780" w:rsidTr="00BD6CDF">
        <w:trPr>
          <w:trHeight w:val="249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t>Distributions Allowed</w:t>
            </w:r>
          </w:p>
        </w:tc>
        <w:tc>
          <w:tcPr>
            <w:tcW w:w="8640" w:type="dxa"/>
            <w:shd w:val="clear" w:color="auto" w:fill="EDEDED" w:themeFill="accent3" w:themeFillTint="33"/>
            <w:vAlign w:val="center"/>
          </w:tcPr>
          <w:p w:rsidR="008B4B72" w:rsidRDefault="007B7912" w:rsidP="00BD6CDF">
            <w:pPr>
              <w:pStyle w:val="BodyText"/>
              <w:spacing w:before="60" w:after="60"/>
            </w:pPr>
            <w:r w:rsidRPr="004B0030">
              <w:t xml:space="preserve">Distributions used exclusively to pay for qualified medical expenses of the employee and his or her spouse and dependents are tax-free. </w:t>
            </w:r>
          </w:p>
          <w:p w:rsidR="008B4B72" w:rsidRDefault="007B7912" w:rsidP="00BD6CDF">
            <w:pPr>
              <w:pStyle w:val="BodyText"/>
              <w:spacing w:before="60" w:after="60"/>
            </w:pPr>
            <w:r w:rsidRPr="004B0030">
              <w:t xml:space="preserve">Any distribution amount not used exclusively to pay for qualified medical expenses is included in the employee's gross </w:t>
            </w:r>
            <w:r w:rsidRPr="004B0030">
              <w:t>income and may</w:t>
            </w:r>
            <w:r>
              <w:t xml:space="preserve"> be subject to an additional 20 percent</w:t>
            </w:r>
            <w:r w:rsidRPr="004B0030">
              <w:t xml:space="preserve"> tax. </w:t>
            </w:r>
          </w:p>
          <w:p w:rsidR="008B4B72" w:rsidRPr="00FF0461" w:rsidRDefault="007B7912" w:rsidP="00BD6CDF">
            <w:pPr>
              <w:pStyle w:val="BodyText"/>
              <w:spacing w:before="60" w:after="60"/>
            </w:pPr>
            <w:r w:rsidRPr="00FB4714">
              <w:rPr>
                <w:b/>
                <w:i/>
              </w:rPr>
              <w:t>Note:</w:t>
            </w:r>
            <w:r w:rsidRPr="004B0030">
              <w:t xml:space="preserve"> Employees who cover dependents to age 26 under an HDHP may </w:t>
            </w:r>
            <w:r w:rsidRPr="00681DFF">
              <w:rPr>
                <w:b/>
              </w:rPr>
              <w:t>not use HSA funds</w:t>
            </w:r>
            <w:r w:rsidRPr="004B0030">
              <w:t xml:space="preserve"> for reimbursement on a tax-free basis for an adult child's medical expenses, </w:t>
            </w:r>
            <w:r w:rsidRPr="00681DFF">
              <w:rPr>
                <w:b/>
              </w:rPr>
              <w:t>unless the adult child</w:t>
            </w:r>
            <w:r w:rsidRPr="004B0030">
              <w:t xml:space="preserve"> </w:t>
            </w:r>
            <w:r w:rsidR="00655996" w:rsidRPr="00655996">
              <w:t xml:space="preserve">qualifies as a tax dependent </w:t>
            </w:r>
            <w:r>
              <w:t>of the employee.</w:t>
            </w:r>
          </w:p>
        </w:tc>
      </w:tr>
      <w:tr w:rsidR="00634780" w:rsidTr="00BD6CDF">
        <w:trPr>
          <w:trHeight w:val="249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t>Timing of Distributions</w:t>
            </w:r>
          </w:p>
        </w:tc>
        <w:tc>
          <w:tcPr>
            <w:tcW w:w="8640" w:type="dxa"/>
            <w:shd w:val="clear" w:color="auto" w:fill="EDEDED" w:themeFill="accent3" w:themeFillTint="33"/>
            <w:vAlign w:val="center"/>
          </w:tcPr>
          <w:p w:rsidR="008B4B72" w:rsidRDefault="007B7912" w:rsidP="00BD6CDF">
            <w:pPr>
              <w:pStyle w:val="BodyText"/>
              <w:spacing w:before="60" w:after="60"/>
            </w:pPr>
            <w:r>
              <w:t xml:space="preserve">An </w:t>
            </w:r>
            <w:r w:rsidRPr="004B0030">
              <w:t>employee may receive distributions from an HSA at any time for qualified medical expenses not reimbursed by the HDHP; however, expenses incurred before an HSA is established are not considered qu</w:t>
            </w:r>
            <w:r w:rsidRPr="004B0030">
              <w:t>alified medical expenses</w:t>
            </w:r>
            <w:r>
              <w:t xml:space="preserve">. </w:t>
            </w:r>
          </w:p>
          <w:p w:rsidR="008B4B72" w:rsidRPr="00FF0461" w:rsidRDefault="007B7912" w:rsidP="00BD6CDF">
            <w:pPr>
              <w:pStyle w:val="BodyText"/>
              <w:spacing w:before="60" w:after="60"/>
            </w:pPr>
            <w:r>
              <w:t>Employees do not need to meet the HSA eligibility criteria in order to receive a tax-free distribution from their HSAs. Also, an employee’s s</w:t>
            </w:r>
            <w:r w:rsidRPr="00FB4714">
              <w:t>pouse and dependents do not have to be HSA-eligible in order to have their qualifying me</w:t>
            </w:r>
            <w:r w:rsidRPr="00FB4714">
              <w:t>dical expenses reimbursed on a tax-free basis.</w:t>
            </w:r>
          </w:p>
        </w:tc>
      </w:tr>
      <w:tr w:rsidR="00634780" w:rsidTr="00BD6CDF">
        <w:trPr>
          <w:trHeight w:val="249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t>Qualified Medical Expenses</w:t>
            </w:r>
          </w:p>
        </w:tc>
        <w:tc>
          <w:tcPr>
            <w:tcW w:w="8640" w:type="dxa"/>
            <w:shd w:val="clear" w:color="auto" w:fill="EDEDED" w:themeFill="accent3" w:themeFillTint="33"/>
            <w:vAlign w:val="center"/>
          </w:tcPr>
          <w:p w:rsidR="008B4B72" w:rsidRDefault="007B7912" w:rsidP="00BD6CDF">
            <w:pPr>
              <w:pStyle w:val="BodyText"/>
              <w:spacing w:before="60" w:after="60"/>
            </w:pPr>
            <w:r w:rsidRPr="004B0030">
              <w:t xml:space="preserve">Generally, qualified medical expenses are those expenses paid for </w:t>
            </w:r>
            <w:r>
              <w:t>"medical care" as defined in Internal Revenue Code</w:t>
            </w:r>
            <w:r w:rsidRPr="004B0030">
              <w:t xml:space="preserve"> </w:t>
            </w:r>
            <w:hyperlink r:id="rId19" w:anchor="d" w:history="1">
              <w:r>
                <w:rPr>
                  <w:rStyle w:val="Hyperlink"/>
                </w:rPr>
                <w:t>Section 213(d)</w:t>
              </w:r>
            </w:hyperlink>
            <w:r w:rsidRPr="004B0030">
              <w:t xml:space="preserve">. Health insurance premiums are generally not considered qualified medical expenses for HSA purposes, unless the premiums are for: </w:t>
            </w:r>
          </w:p>
          <w:p w:rsidR="008B4B72" w:rsidRDefault="007B7912" w:rsidP="00BD6CDF">
            <w:pPr>
              <w:pStyle w:val="BulletList"/>
              <w:spacing w:before="60" w:after="60"/>
            </w:pPr>
            <w:r w:rsidRPr="004B0030">
              <w:lastRenderedPageBreak/>
              <w:t>Qualified long-term care insurance (premiums are subject to limits based on age and are adjusted annuall</w:t>
            </w:r>
            <w:r w:rsidRPr="004B0030">
              <w:t>y)</w:t>
            </w:r>
            <w:r>
              <w:t>;</w:t>
            </w:r>
            <w:r w:rsidRPr="004B0030">
              <w:t xml:space="preserve"> </w:t>
            </w:r>
          </w:p>
          <w:p w:rsidR="008B4B72" w:rsidRDefault="007B7912" w:rsidP="00BD6CDF">
            <w:pPr>
              <w:pStyle w:val="BulletList"/>
              <w:spacing w:before="60" w:after="60"/>
            </w:pPr>
            <w:r w:rsidRPr="004B0030">
              <w:t>Health care continuation covera</w:t>
            </w:r>
            <w:r>
              <w:t>ge required by federal law (for example</w:t>
            </w:r>
            <w:r w:rsidRPr="004B0030">
              <w:t>, COBRA)</w:t>
            </w:r>
            <w:r>
              <w:t>;</w:t>
            </w:r>
            <w:r w:rsidRPr="004B0030">
              <w:t xml:space="preserve"> </w:t>
            </w:r>
          </w:p>
          <w:p w:rsidR="008B4B72" w:rsidRDefault="007B7912" w:rsidP="00BD6CDF">
            <w:pPr>
              <w:pStyle w:val="BulletList"/>
              <w:spacing w:before="60" w:after="60"/>
            </w:pPr>
            <w:r w:rsidRPr="004B0030">
              <w:t>Health care coverage while an individual is receiving unemployment</w:t>
            </w:r>
            <w:r>
              <w:t>; or</w:t>
            </w:r>
            <w:r w:rsidRPr="004B0030">
              <w:t xml:space="preserve"> </w:t>
            </w:r>
          </w:p>
          <w:p w:rsidR="008B4B72" w:rsidRPr="00FF0461" w:rsidRDefault="007B7912" w:rsidP="00BD6CDF">
            <w:pPr>
              <w:pStyle w:val="BulletList"/>
              <w:spacing w:before="60" w:after="60"/>
            </w:pPr>
            <w:r w:rsidRPr="004B0030">
              <w:t xml:space="preserve">Medicare and other health care coverage if the employee is 65 or older (other than </w:t>
            </w:r>
            <w:r w:rsidRPr="004B0030">
              <w:t>premiums for a Medicare supplemental policy, such as Medigap)</w:t>
            </w:r>
            <w:r>
              <w:t xml:space="preserve">. </w:t>
            </w:r>
          </w:p>
        </w:tc>
      </w:tr>
      <w:tr w:rsidR="00634780" w:rsidTr="007E5C32">
        <w:trPr>
          <w:trHeight w:val="249"/>
        </w:trPr>
        <w:tc>
          <w:tcPr>
            <w:tcW w:w="10800" w:type="dxa"/>
            <w:gridSpan w:val="2"/>
            <w:shd w:val="clear" w:color="auto" w:fill="A6A6A6" w:themeFill="background1" w:themeFillShade="A6"/>
            <w:vAlign w:val="center"/>
          </w:tcPr>
          <w:p w:rsidR="008B4B72" w:rsidRPr="008D635C" w:rsidRDefault="007B7912" w:rsidP="00BD6CDF">
            <w:pPr>
              <w:pStyle w:val="H-Bulletlist"/>
              <w:numPr>
                <w:ilvl w:val="0"/>
                <w:numId w:val="0"/>
              </w:numPr>
              <w:spacing w:before="0" w:after="0"/>
              <w:ind w:left="273" w:hanging="187"/>
              <w:jc w:val="center"/>
              <w:rPr>
                <w:b/>
                <w:color w:val="76717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lastRenderedPageBreak/>
              <w:t>OTHER ISSUES</w:t>
            </w:r>
          </w:p>
        </w:tc>
      </w:tr>
      <w:tr w:rsidR="00634780" w:rsidTr="00BD6CDF">
        <w:trPr>
          <w:trHeight w:val="249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t xml:space="preserve">Balance and </w:t>
            </w:r>
            <w:r w:rsidRPr="00F6285E">
              <w:rPr>
                <w:b/>
                <w:color w:val="FFFFFF" w:themeColor="background1"/>
                <w:sz w:val="24"/>
                <w:szCs w:val="24"/>
              </w:rPr>
              <w:t>Carryover</w:t>
            </w:r>
          </w:p>
        </w:tc>
        <w:tc>
          <w:tcPr>
            <w:tcW w:w="8640" w:type="dxa"/>
            <w:shd w:val="clear" w:color="auto" w:fill="EDEDED" w:themeFill="accent3" w:themeFillTint="33"/>
            <w:vAlign w:val="center"/>
          </w:tcPr>
          <w:p w:rsidR="008B4B72" w:rsidRPr="009F0A8A" w:rsidRDefault="007B7912" w:rsidP="00BD6CDF">
            <w:pPr>
              <w:pStyle w:val="H-Bulletlist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 w:rsidRPr="009F0A8A">
              <w:rPr>
                <w:szCs w:val="20"/>
              </w:rPr>
              <w:t>Amounts remaining in an HSA at the end of the year are generally carried over to the next year</w:t>
            </w:r>
            <w:r>
              <w:rPr>
                <w:szCs w:val="20"/>
              </w:rPr>
              <w:t>.</w:t>
            </w:r>
          </w:p>
        </w:tc>
      </w:tr>
      <w:tr w:rsidR="00634780" w:rsidTr="00BD6CDF">
        <w:trPr>
          <w:trHeight w:val="249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t>Account Subject to COBRA</w:t>
            </w:r>
          </w:p>
        </w:tc>
        <w:tc>
          <w:tcPr>
            <w:tcW w:w="8640" w:type="dxa"/>
            <w:shd w:val="clear" w:color="auto" w:fill="EDEDED" w:themeFill="accent3" w:themeFillTint="33"/>
            <w:vAlign w:val="center"/>
          </w:tcPr>
          <w:p w:rsidR="008B4B72" w:rsidRPr="009F0A8A" w:rsidRDefault="007B7912" w:rsidP="00BD6CDF">
            <w:pPr>
              <w:pStyle w:val="H-Bulletlist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 w:rsidRPr="009F0A8A">
              <w:rPr>
                <w:szCs w:val="20"/>
              </w:rPr>
              <w:t>No</w:t>
            </w:r>
            <w:r>
              <w:rPr>
                <w:szCs w:val="20"/>
              </w:rPr>
              <w:t>.</w:t>
            </w:r>
          </w:p>
        </w:tc>
      </w:tr>
      <w:tr w:rsidR="00634780" w:rsidTr="00BD6CDF">
        <w:trPr>
          <w:trHeight w:val="249"/>
        </w:trPr>
        <w:tc>
          <w:tcPr>
            <w:tcW w:w="2160" w:type="dxa"/>
            <w:shd w:val="clear" w:color="auto" w:fill="4884A2"/>
            <w:vAlign w:val="center"/>
          </w:tcPr>
          <w:p w:rsidR="008B4B72" w:rsidRPr="008D635C" w:rsidRDefault="007B7912" w:rsidP="00BD6CDF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D635C">
              <w:rPr>
                <w:b/>
                <w:color w:val="FFFFFF" w:themeColor="background1"/>
                <w:sz w:val="24"/>
                <w:szCs w:val="24"/>
              </w:rPr>
              <w:t>Portability</w:t>
            </w:r>
          </w:p>
        </w:tc>
        <w:tc>
          <w:tcPr>
            <w:tcW w:w="8640" w:type="dxa"/>
            <w:shd w:val="clear" w:color="auto" w:fill="EDEDED" w:themeFill="accent3" w:themeFillTint="33"/>
            <w:vAlign w:val="center"/>
          </w:tcPr>
          <w:p w:rsidR="008B4B72" w:rsidRPr="009F0A8A" w:rsidRDefault="007B7912" w:rsidP="00BD6CDF">
            <w:pPr>
              <w:pStyle w:val="H-Bulletlist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 w:rsidRPr="009F0A8A">
              <w:rPr>
                <w:szCs w:val="20"/>
              </w:rPr>
              <w:t xml:space="preserve">Yes, the </w:t>
            </w:r>
            <w:r w:rsidRPr="009F0A8A">
              <w:rPr>
                <w:szCs w:val="20"/>
              </w:rPr>
              <w:t>employee is the owner of the account</w:t>
            </w:r>
            <w:r>
              <w:rPr>
                <w:szCs w:val="20"/>
              </w:rPr>
              <w:t>.</w:t>
            </w:r>
          </w:p>
        </w:tc>
      </w:tr>
    </w:tbl>
    <w:p w:rsidR="008B4B72" w:rsidRPr="008B4B72" w:rsidRDefault="008B4B72" w:rsidP="008B4B72">
      <w:pPr>
        <w:pStyle w:val="BodyText"/>
        <w:tabs>
          <w:tab w:val="left" w:pos="-630"/>
        </w:tabs>
        <w:ind w:hanging="720"/>
        <w:jc w:val="left"/>
      </w:pPr>
    </w:p>
    <w:sectPr w:rsidR="008B4B72" w:rsidRPr="008B4B72" w:rsidSect="007414C5">
      <w:type w:val="continuous"/>
      <w:pgSz w:w="12240" w:h="15840"/>
      <w:pgMar w:top="1627" w:right="1440" w:bottom="720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B7912">
      <w:pPr>
        <w:spacing w:after="0" w:line="240" w:lineRule="auto"/>
      </w:pPr>
      <w:r>
        <w:separator/>
      </w:r>
    </w:p>
  </w:endnote>
  <w:endnote w:type="continuationSeparator" w:id="0">
    <w:p w:rsidR="00000000" w:rsidRDefault="007B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696" w:rsidRDefault="007B79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-86995</wp:posOffset>
              </wp:positionH>
              <wp:positionV relativeFrom="paragraph">
                <wp:posOffset>-360045</wp:posOffset>
              </wp:positionV>
              <wp:extent cx="4387215" cy="556260"/>
              <wp:effectExtent l="0" t="0" r="0" b="0"/>
              <wp:wrapNone/>
              <wp:docPr id="81" name="Text Box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215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048C" w:rsidRPr="00947E11" w:rsidRDefault="007B7912" w:rsidP="0084048C">
                          <w:pPr>
                            <w:pStyle w:val="Disclaimer"/>
                            <w:rPr>
                              <w:szCs w:val="16"/>
                            </w:rPr>
                          </w:pPr>
                          <w:r w:rsidRPr="00947E11">
                            <w:rPr>
                              <w:szCs w:val="16"/>
                            </w:rPr>
                            <w:t xml:space="preserve">This </w:t>
                          </w:r>
                          <w:r w:rsidR="00E00FF6">
                            <w:rPr>
                              <w:szCs w:val="16"/>
                            </w:rPr>
                            <w:t>Compliance</w:t>
                          </w:r>
                          <w:r w:rsidRPr="00947E11">
                            <w:rPr>
                              <w:szCs w:val="16"/>
                            </w:rPr>
                            <w:t xml:space="preserve"> Overview is not intended to be exhaustive nor should any discussion or opinions be construed as legal advice. Readers should contact </w:t>
                          </w:r>
                          <w:r w:rsidR="00991B79">
                            <w:rPr>
                              <w:szCs w:val="16"/>
                            </w:rPr>
                            <w:t>legal counsel for legal advice.</w:t>
                          </w:r>
                          <w:r w:rsidR="00947E8E">
                            <w:rPr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9" type="#_x0000_t202" style="position:absolute;margin-left:-6.85pt;margin-top:-28.35pt;width:345.45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" filled="f" stroked="f" strokeweight=".5pt">
              <v:textbox>
                <w:txbxContent>
                  <w:p w:rsidR="0084048C" w:rsidRPr="00947E11" w:rsidRDefault="007B7912" w:rsidP="0084048C">
                    <w:pPr>
                      <w:pStyle w:val="Disclaimer"/>
                      <w:rPr>
                        <w:szCs w:val="16"/>
                      </w:rPr>
                    </w:pPr>
                    <w:r w:rsidRPr="00947E11">
                      <w:rPr>
                        <w:szCs w:val="16"/>
                      </w:rPr>
                      <w:t xml:space="preserve">This </w:t>
                    </w:r>
                    <w:r w:rsidR="00E00FF6">
                      <w:rPr>
                        <w:szCs w:val="16"/>
                      </w:rPr>
                      <w:t>Compliance</w:t>
                    </w:r>
                    <w:r w:rsidRPr="00947E11">
                      <w:rPr>
                        <w:szCs w:val="16"/>
                      </w:rPr>
                      <w:t xml:space="preserve"> Overview is not intended to be exhaustive nor should any discussion or opinions be construed as legal advice. Readers should contact </w:t>
                    </w:r>
                    <w:r w:rsidR="00991B79">
                      <w:rPr>
                        <w:szCs w:val="16"/>
                      </w:rPr>
                      <w:t>legal counsel for legal advice.</w:t>
                    </w:r>
                    <w:r w:rsidR="00947E8E">
                      <w:rPr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E79" w:rsidRPr="00F72D06" w:rsidRDefault="007B7912" w:rsidP="005714F1">
    <w:pPr>
      <w:pStyle w:val="Footer"/>
      <w:spacing w:before="40"/>
      <w:jc w:val="right"/>
    </w:pPr>
    <w:r w:rsidRPr="00F72D06">
      <w:fldChar w:fldCharType="begin"/>
    </w:r>
    <w:r w:rsidRPr="00F72D06">
      <w:instrText xml:space="preserve"> PAGE   \* MERGEFORMAT </w:instrText>
    </w:r>
    <w:r w:rsidRPr="00F72D06">
      <w:fldChar w:fldCharType="separate"/>
    </w:r>
    <w:r w:rsidR="006C7F73">
      <w:rPr>
        <w:noProof/>
      </w:rPr>
      <w:t>4</w:t>
    </w:r>
    <w:r w:rsidRPr="00F72D06">
      <w:rPr>
        <w:noProof/>
      </w:rPr>
      <w:fldChar w:fldCharType="end"/>
    </w:r>
  </w:p>
  <w:p w:rsidR="007B4E79" w:rsidRPr="00817EEE" w:rsidRDefault="007B7912" w:rsidP="00F06BC9">
    <w:pPr>
      <w:pStyle w:val="Disclaimer"/>
    </w:pPr>
    <w:r>
      <w:t>This Compliance</w:t>
    </w:r>
    <w:r w:rsidRPr="00817EEE">
      <w:t xml:space="preserve"> Overview is not intended to be exhaustive nor </w:t>
    </w:r>
    <w:r w:rsidRPr="00F06BC9">
      <w:t>should</w:t>
    </w:r>
    <w:r w:rsidRPr="00817EEE">
      <w:t xml:space="preserve"> any discussion or opinions be construed as legal advice.</w:t>
    </w:r>
    <w:r w:rsidR="00DD1FDA" w:rsidRPr="00817EEE">
      <w:t xml:space="preserve"> </w:t>
    </w:r>
    <w:r w:rsidRPr="00817EEE">
      <w:t>Readers should contact legal counsel for legal advice.</w:t>
    </w:r>
  </w:p>
  <w:p w:rsidR="0091138D" w:rsidRPr="00817EEE" w:rsidRDefault="007B7912" w:rsidP="00947E8E">
    <w:pPr>
      <w:pStyle w:val="Disclaimer"/>
      <w:tabs>
        <w:tab w:val="left" w:pos="3840"/>
      </w:tabs>
    </w:pPr>
    <w:r w:rsidRPr="00817EEE">
      <w:t xml:space="preserve">© </w:t>
    </w:r>
    <w:r w:rsidR="006C7F73">
      <w:t>2019</w:t>
    </w:r>
    <w:r w:rsidRPr="00817EEE">
      <w:t> </w:t>
    </w:r>
    <w:r w:rsidR="007B4E79" w:rsidRPr="00F06BC9">
      <w:t>Zywave</w:t>
    </w:r>
    <w:r w:rsidR="006E02B0">
      <w:t xml:space="preserve">, Inc. 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B7912">
      <w:pPr>
        <w:spacing w:after="0" w:line="240" w:lineRule="auto"/>
      </w:pPr>
      <w:r>
        <w:separator/>
      </w:r>
    </w:p>
  </w:footnote>
  <w:footnote w:type="continuationSeparator" w:id="0">
    <w:p w:rsidR="00000000" w:rsidRDefault="007B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D9" w:rsidRDefault="007B7912">
    <w:pPr>
      <w:pStyle w:val="Header"/>
    </w:pPr>
    <w:r>
      <w:rPr>
        <w:noProof/>
      </w:rPr>
      <mc:AlternateContent>
        <mc:Choice Requires="wps">
          <w:drawing>
            <wp:anchor distT="0" distB="0" distL="114298" distR="114298" simplePos="0" relativeHeight="251662336" behindDoc="0" locked="0" layoutInCell="1" allowOverlap="1">
              <wp:simplePos x="0" y="0"/>
              <wp:positionH relativeFrom="column">
                <wp:posOffset>4386579</wp:posOffset>
              </wp:positionH>
              <wp:positionV relativeFrom="paragraph">
                <wp:posOffset>2667000</wp:posOffset>
              </wp:positionV>
              <wp:extent cx="0" cy="5715000"/>
              <wp:effectExtent l="0" t="0" r="0" b="0"/>
              <wp:wrapNone/>
              <wp:docPr id="120" name="Straight Connector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571500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4884A2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20" o:spid="_x0000_s204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345.4pt,210pt" to="345.4pt,660pt" strokecolor="#4884a2" strokeweight="1.5pt">
              <v:stroke joinstyle="miter" dashstyle="1 1" endcap="round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-2792095</wp:posOffset>
          </wp:positionV>
          <wp:extent cx="7772400" cy="2886075"/>
          <wp:effectExtent l="0" t="0" r="0" b="0"/>
          <wp:wrapNone/>
          <wp:docPr id="10" name="Picture 17" descr="C:\Users\singleton\Desktop\Projects\Compliabce Bulletin_Leg Brief_Reg Update\Compliance Bulletin\ACA Overview_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606151" name="Picture 17" descr="C:\Users\singleton\Desktop\Projects\Compliabce Bulletin_Leg Brief_Reg Update\Compliance Bulletin\ACA Overview_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88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53" w:rsidRDefault="007B7912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-1023620</wp:posOffset>
          </wp:positionV>
          <wp:extent cx="7772400" cy="871220"/>
          <wp:effectExtent l="0" t="0" r="0" b="0"/>
          <wp:wrapNone/>
          <wp:docPr id="4" name="Picture 4" descr="C:\Users\singleton\Desktop\Projects\Compliabce Bulletin_Leg Brief_Reg Update\Compliance Bulletin\ACA Overview_BE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159800" name="Picture 4" descr="C:\Users\singleton\Desktop\Projects\Compliabce Bulletin_Leg Brief_Reg Update\Compliance Bulletin\ACA Overview_BE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6053" w:rsidRDefault="00D16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6488"/>
    <w:multiLevelType w:val="hybridMultilevel"/>
    <w:tmpl w:val="4A98104E"/>
    <w:lvl w:ilvl="0" w:tplc="95E884B8">
      <w:start w:val="1"/>
      <w:numFmt w:val="bullet"/>
      <w:pStyle w:val="T-BulletList"/>
      <w:lvlText w:val=""/>
      <w:lvlJc w:val="left"/>
      <w:pPr>
        <w:ind w:left="288" w:hanging="216"/>
      </w:pPr>
      <w:rPr>
        <w:rFonts w:ascii="Symbol" w:hAnsi="Symbol" w:hint="default"/>
        <w:sz w:val="20"/>
        <w:szCs w:val="20"/>
      </w:rPr>
    </w:lvl>
    <w:lvl w:ilvl="1" w:tplc="1B60A2F2">
      <w:start w:val="1"/>
      <w:numFmt w:val="bullet"/>
      <w:lvlText w:val="o"/>
      <w:lvlJc w:val="left"/>
      <w:pPr>
        <w:ind w:left="576" w:hanging="216"/>
      </w:pPr>
      <w:rPr>
        <w:rFonts w:ascii="Courier New" w:hAnsi="Courier New" w:hint="default"/>
      </w:rPr>
    </w:lvl>
    <w:lvl w:ilvl="2" w:tplc="AE9AEA7A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</w:rPr>
    </w:lvl>
    <w:lvl w:ilvl="3" w:tplc="D132E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42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06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A1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66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166A4"/>
    <w:multiLevelType w:val="hybridMultilevel"/>
    <w:tmpl w:val="35D20024"/>
    <w:lvl w:ilvl="0" w:tplc="E39EB6A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157EDAEA">
      <w:start w:val="1"/>
      <w:numFmt w:val="bullet"/>
      <w:lvlText w:val="o"/>
      <w:lvlJc w:val="left"/>
      <w:pPr>
        <w:ind w:left="576" w:hanging="216"/>
      </w:pPr>
      <w:rPr>
        <w:rFonts w:ascii="Courier New" w:hAnsi="Courier New" w:hint="default"/>
      </w:rPr>
    </w:lvl>
    <w:lvl w:ilvl="2" w:tplc="E17AACD6">
      <w:start w:val="1"/>
      <w:numFmt w:val="bullet"/>
      <w:lvlText w:val=""/>
      <w:lvlJc w:val="left"/>
      <w:pPr>
        <w:ind w:left="864" w:hanging="216"/>
      </w:pPr>
      <w:rPr>
        <w:rFonts w:ascii="Wingdings" w:hAnsi="Wingdings" w:hint="default"/>
      </w:rPr>
    </w:lvl>
    <w:lvl w:ilvl="3" w:tplc="0FD25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67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4D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CE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0D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583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5615E"/>
    <w:multiLevelType w:val="hybridMultilevel"/>
    <w:tmpl w:val="9E36E3C2"/>
    <w:lvl w:ilvl="0" w:tplc="0AA6D10C">
      <w:start w:val="1"/>
      <w:numFmt w:val="bullet"/>
      <w:pStyle w:val="H-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85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EC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26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8A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65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8C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A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A8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2C70"/>
    <w:multiLevelType w:val="hybridMultilevel"/>
    <w:tmpl w:val="CB1A4564"/>
    <w:lvl w:ilvl="0" w:tplc="B6684C1C">
      <w:start w:val="1"/>
      <w:numFmt w:val="bullet"/>
      <w:pStyle w:val="BulletLis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55368354">
      <w:start w:val="1"/>
      <w:numFmt w:val="bullet"/>
      <w:lvlText w:val="o"/>
      <w:lvlJc w:val="left"/>
      <w:pPr>
        <w:ind w:left="936" w:hanging="216"/>
      </w:pPr>
      <w:rPr>
        <w:rFonts w:ascii="Courier New" w:hAnsi="Courier New" w:hint="default"/>
      </w:rPr>
    </w:lvl>
    <w:lvl w:ilvl="2" w:tplc="C546888E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3" w:tplc="2076C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E0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E0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29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64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CE2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46A19"/>
    <w:multiLevelType w:val="hybridMultilevel"/>
    <w:tmpl w:val="A2763910"/>
    <w:lvl w:ilvl="0" w:tplc="1A302C2C">
      <w:start w:val="1"/>
      <w:numFmt w:val="bullet"/>
      <w:pStyle w:val="H-BulletList0"/>
      <w:lvlText w:val=""/>
      <w:lvlJc w:val="left"/>
      <w:pPr>
        <w:ind w:left="288" w:hanging="216"/>
      </w:pPr>
      <w:rPr>
        <w:rFonts w:ascii="Symbol" w:hAnsi="Symbol" w:hint="default"/>
        <w:sz w:val="20"/>
        <w:szCs w:val="20"/>
      </w:rPr>
    </w:lvl>
    <w:lvl w:ilvl="1" w:tplc="F9A8469E">
      <w:start w:val="1"/>
      <w:numFmt w:val="bullet"/>
      <w:lvlText w:val="o"/>
      <w:lvlJc w:val="left"/>
      <w:pPr>
        <w:ind w:left="504" w:hanging="144"/>
      </w:pPr>
      <w:rPr>
        <w:rFonts w:ascii="Courier New" w:hAnsi="Courier New" w:hint="default"/>
      </w:rPr>
    </w:lvl>
    <w:lvl w:ilvl="2" w:tplc="97D6964E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</w:rPr>
    </w:lvl>
    <w:lvl w:ilvl="3" w:tplc="A7EA5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62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4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83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4C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E7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86126"/>
    <w:multiLevelType w:val="hybridMultilevel"/>
    <w:tmpl w:val="792E3A1A"/>
    <w:lvl w:ilvl="0" w:tplc="F6C818D0">
      <w:start w:val="1"/>
      <w:numFmt w:val="decimal"/>
      <w:pStyle w:val="Numbering"/>
      <w:lvlText w:val="%1."/>
      <w:lvlJc w:val="left"/>
      <w:pPr>
        <w:ind w:left="576" w:hanging="216"/>
      </w:pPr>
      <w:rPr>
        <w:rFonts w:hint="default"/>
      </w:rPr>
    </w:lvl>
    <w:lvl w:ilvl="1" w:tplc="403836B2">
      <w:start w:val="1"/>
      <w:numFmt w:val="lowerLetter"/>
      <w:lvlText w:val="%2."/>
      <w:lvlJc w:val="left"/>
      <w:pPr>
        <w:ind w:left="936" w:hanging="216"/>
      </w:pPr>
      <w:rPr>
        <w:rFonts w:hint="default"/>
      </w:rPr>
    </w:lvl>
    <w:lvl w:ilvl="2" w:tplc="940033D2">
      <w:start w:val="1"/>
      <w:numFmt w:val="lowerRoman"/>
      <w:lvlText w:val="%3."/>
      <w:lvlJc w:val="right"/>
      <w:pPr>
        <w:ind w:left="1296" w:hanging="216"/>
      </w:pPr>
      <w:rPr>
        <w:rFonts w:hint="default"/>
      </w:rPr>
    </w:lvl>
    <w:lvl w:ilvl="3" w:tplc="8EAE1EAA" w:tentative="1">
      <w:start w:val="1"/>
      <w:numFmt w:val="decimal"/>
      <w:lvlText w:val="%4."/>
      <w:lvlJc w:val="left"/>
      <w:pPr>
        <w:ind w:left="2880" w:hanging="360"/>
      </w:pPr>
    </w:lvl>
    <w:lvl w:ilvl="4" w:tplc="D23E5370" w:tentative="1">
      <w:start w:val="1"/>
      <w:numFmt w:val="lowerLetter"/>
      <w:lvlText w:val="%5."/>
      <w:lvlJc w:val="left"/>
      <w:pPr>
        <w:ind w:left="3600" w:hanging="360"/>
      </w:pPr>
    </w:lvl>
    <w:lvl w:ilvl="5" w:tplc="77AC5F28" w:tentative="1">
      <w:start w:val="1"/>
      <w:numFmt w:val="lowerRoman"/>
      <w:lvlText w:val="%6."/>
      <w:lvlJc w:val="right"/>
      <w:pPr>
        <w:ind w:left="4320" w:hanging="180"/>
      </w:pPr>
    </w:lvl>
    <w:lvl w:ilvl="6" w:tplc="0964AF9C" w:tentative="1">
      <w:start w:val="1"/>
      <w:numFmt w:val="decimal"/>
      <w:lvlText w:val="%7."/>
      <w:lvlJc w:val="left"/>
      <w:pPr>
        <w:ind w:left="5040" w:hanging="360"/>
      </w:pPr>
    </w:lvl>
    <w:lvl w:ilvl="7" w:tplc="7AF0CE46" w:tentative="1">
      <w:start w:val="1"/>
      <w:numFmt w:val="lowerLetter"/>
      <w:lvlText w:val="%8."/>
      <w:lvlJc w:val="left"/>
      <w:pPr>
        <w:ind w:left="5760" w:hanging="360"/>
      </w:pPr>
    </w:lvl>
    <w:lvl w:ilvl="8" w:tplc="FA58C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B4ECD"/>
    <w:multiLevelType w:val="hybridMultilevel"/>
    <w:tmpl w:val="6C406044"/>
    <w:lvl w:ilvl="0" w:tplc="05A4B17E">
      <w:start w:val="1"/>
      <w:numFmt w:val="bullet"/>
      <w:pStyle w:val="BulletlistHighligh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CA9C5BF6">
      <w:start w:val="1"/>
      <w:numFmt w:val="bullet"/>
      <w:lvlText w:val="o"/>
      <w:lvlJc w:val="left"/>
      <w:pPr>
        <w:ind w:left="576" w:hanging="216"/>
      </w:pPr>
      <w:rPr>
        <w:rFonts w:ascii="Courier New" w:hAnsi="Courier New" w:hint="default"/>
      </w:rPr>
    </w:lvl>
    <w:lvl w:ilvl="2" w:tplc="4D76108A">
      <w:start w:val="1"/>
      <w:numFmt w:val="bullet"/>
      <w:lvlText w:val=""/>
      <w:lvlJc w:val="left"/>
      <w:pPr>
        <w:ind w:left="864" w:hanging="216"/>
      </w:pPr>
      <w:rPr>
        <w:rFonts w:ascii="Wingdings" w:hAnsi="Wingdings" w:hint="default"/>
      </w:rPr>
    </w:lvl>
    <w:lvl w:ilvl="3" w:tplc="C36C8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6D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8E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0F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2E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B0D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12014"/>
    <w:multiLevelType w:val="hybridMultilevel"/>
    <w:tmpl w:val="96747874"/>
    <w:lvl w:ilvl="0" w:tplc="DAACA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b/>
        <w:color w:val="595959"/>
      </w:rPr>
    </w:lvl>
    <w:lvl w:ilvl="1" w:tplc="91F01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25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68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8B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662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A4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EE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66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</w:num>
  <w:num w:numId="10">
    <w:abstractNumId w:val="5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C9"/>
    <w:rsid w:val="000106B8"/>
    <w:rsid w:val="000272AF"/>
    <w:rsid w:val="00053327"/>
    <w:rsid w:val="0005597A"/>
    <w:rsid w:val="00094EAE"/>
    <w:rsid w:val="000D733F"/>
    <w:rsid w:val="00122C4D"/>
    <w:rsid w:val="001366DB"/>
    <w:rsid w:val="0017685B"/>
    <w:rsid w:val="00177E2A"/>
    <w:rsid w:val="001968D1"/>
    <w:rsid w:val="001F41F2"/>
    <w:rsid w:val="001F76A9"/>
    <w:rsid w:val="002030C9"/>
    <w:rsid w:val="00214BEE"/>
    <w:rsid w:val="002364F9"/>
    <w:rsid w:val="00281307"/>
    <w:rsid w:val="00281D65"/>
    <w:rsid w:val="00291535"/>
    <w:rsid w:val="002A188C"/>
    <w:rsid w:val="00314DE9"/>
    <w:rsid w:val="00321147"/>
    <w:rsid w:val="0032627F"/>
    <w:rsid w:val="0033142C"/>
    <w:rsid w:val="00337A92"/>
    <w:rsid w:val="0034322C"/>
    <w:rsid w:val="003774F7"/>
    <w:rsid w:val="003A0B2D"/>
    <w:rsid w:val="003A7D7A"/>
    <w:rsid w:val="003B21CD"/>
    <w:rsid w:val="003C1922"/>
    <w:rsid w:val="003D23BB"/>
    <w:rsid w:val="003E263C"/>
    <w:rsid w:val="003F59E9"/>
    <w:rsid w:val="00426F86"/>
    <w:rsid w:val="00440C63"/>
    <w:rsid w:val="0045015D"/>
    <w:rsid w:val="00451D29"/>
    <w:rsid w:val="00460470"/>
    <w:rsid w:val="00461814"/>
    <w:rsid w:val="00462EE5"/>
    <w:rsid w:val="004846F5"/>
    <w:rsid w:val="004A352F"/>
    <w:rsid w:val="004B0030"/>
    <w:rsid w:val="004D0A73"/>
    <w:rsid w:val="004D217B"/>
    <w:rsid w:val="004D4DD7"/>
    <w:rsid w:val="005127CB"/>
    <w:rsid w:val="0051312E"/>
    <w:rsid w:val="005227C2"/>
    <w:rsid w:val="0053544A"/>
    <w:rsid w:val="005714F1"/>
    <w:rsid w:val="00574EC3"/>
    <w:rsid w:val="005E1623"/>
    <w:rsid w:val="005E1DBC"/>
    <w:rsid w:val="00616734"/>
    <w:rsid w:val="00627361"/>
    <w:rsid w:val="00634780"/>
    <w:rsid w:val="00640D15"/>
    <w:rsid w:val="00655996"/>
    <w:rsid w:val="00660351"/>
    <w:rsid w:val="00681DFF"/>
    <w:rsid w:val="006A21D0"/>
    <w:rsid w:val="006C7F73"/>
    <w:rsid w:val="006E02B0"/>
    <w:rsid w:val="00704CFA"/>
    <w:rsid w:val="00706CF5"/>
    <w:rsid w:val="00707AB0"/>
    <w:rsid w:val="007201D3"/>
    <w:rsid w:val="007414C5"/>
    <w:rsid w:val="0074191F"/>
    <w:rsid w:val="00777803"/>
    <w:rsid w:val="00777DD9"/>
    <w:rsid w:val="007A5288"/>
    <w:rsid w:val="007B4E79"/>
    <w:rsid w:val="007B7912"/>
    <w:rsid w:val="007C5520"/>
    <w:rsid w:val="007D056B"/>
    <w:rsid w:val="00804CE3"/>
    <w:rsid w:val="00817EEE"/>
    <w:rsid w:val="0082527D"/>
    <w:rsid w:val="0084048C"/>
    <w:rsid w:val="00844283"/>
    <w:rsid w:val="00862B8A"/>
    <w:rsid w:val="008A3461"/>
    <w:rsid w:val="008B4B72"/>
    <w:rsid w:val="008D635C"/>
    <w:rsid w:val="008F62F4"/>
    <w:rsid w:val="0091138D"/>
    <w:rsid w:val="009454CF"/>
    <w:rsid w:val="00947E11"/>
    <w:rsid w:val="00947E8E"/>
    <w:rsid w:val="00953A8A"/>
    <w:rsid w:val="00963261"/>
    <w:rsid w:val="0098778C"/>
    <w:rsid w:val="00991B79"/>
    <w:rsid w:val="00992098"/>
    <w:rsid w:val="009C43ED"/>
    <w:rsid w:val="009C4457"/>
    <w:rsid w:val="009F0A8A"/>
    <w:rsid w:val="00A16F4F"/>
    <w:rsid w:val="00A22068"/>
    <w:rsid w:val="00A76D7E"/>
    <w:rsid w:val="00A82008"/>
    <w:rsid w:val="00A93330"/>
    <w:rsid w:val="00AD4B14"/>
    <w:rsid w:val="00AF369C"/>
    <w:rsid w:val="00B24BF5"/>
    <w:rsid w:val="00B34411"/>
    <w:rsid w:val="00B35F77"/>
    <w:rsid w:val="00BA0696"/>
    <w:rsid w:val="00BB3D80"/>
    <w:rsid w:val="00BD64CC"/>
    <w:rsid w:val="00BD6C50"/>
    <w:rsid w:val="00BD6CDF"/>
    <w:rsid w:val="00BE5FAA"/>
    <w:rsid w:val="00C14A92"/>
    <w:rsid w:val="00C368DA"/>
    <w:rsid w:val="00C4408C"/>
    <w:rsid w:val="00C65477"/>
    <w:rsid w:val="00C83CAB"/>
    <w:rsid w:val="00D046E7"/>
    <w:rsid w:val="00D16053"/>
    <w:rsid w:val="00D31654"/>
    <w:rsid w:val="00D42BFB"/>
    <w:rsid w:val="00D56AE4"/>
    <w:rsid w:val="00D8497C"/>
    <w:rsid w:val="00DB07D8"/>
    <w:rsid w:val="00DC20C0"/>
    <w:rsid w:val="00DD1FDA"/>
    <w:rsid w:val="00DF2EAD"/>
    <w:rsid w:val="00E00FF6"/>
    <w:rsid w:val="00E13430"/>
    <w:rsid w:val="00E1697B"/>
    <w:rsid w:val="00E444AA"/>
    <w:rsid w:val="00E66D6F"/>
    <w:rsid w:val="00EB6A8E"/>
    <w:rsid w:val="00EC10A1"/>
    <w:rsid w:val="00F0224A"/>
    <w:rsid w:val="00F06BC9"/>
    <w:rsid w:val="00F50E54"/>
    <w:rsid w:val="00F577B0"/>
    <w:rsid w:val="00F6285E"/>
    <w:rsid w:val="00F72D06"/>
    <w:rsid w:val="00F85F4A"/>
    <w:rsid w:val="00F9723B"/>
    <w:rsid w:val="00F9758D"/>
    <w:rsid w:val="00FB4714"/>
    <w:rsid w:val="00FE7541"/>
    <w:rsid w:val="00FF0461"/>
    <w:rsid w:val="00FF278D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EA3F4-C7C9-4142-867D-C1060378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352F"/>
    <w:pPr>
      <w:spacing w:after="160" w:line="259" w:lineRule="auto"/>
    </w:pPr>
    <w:rPr>
      <w:color w:val="595959"/>
      <w:szCs w:val="22"/>
    </w:rPr>
  </w:style>
  <w:style w:type="paragraph" w:styleId="Heading1">
    <w:name w:val="heading 1"/>
    <w:basedOn w:val="BodyText2"/>
    <w:next w:val="Normal"/>
    <w:link w:val="Heading1Char"/>
    <w:uiPriority w:val="9"/>
    <w:qFormat/>
    <w:rsid w:val="00E00FF6"/>
    <w:pPr>
      <w:spacing w:after="120"/>
      <w:ind w:left="0" w:right="0"/>
      <w:outlineLvl w:val="0"/>
    </w:pPr>
    <w:rPr>
      <w:color w:val="4884A2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BC9"/>
    <w:pPr>
      <w:spacing w:before="240" w:after="12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BC9"/>
    <w:pPr>
      <w:spacing w:before="240" w:after="120"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00FF6"/>
    <w:rPr>
      <w:rFonts w:eastAsia="Times New Roman"/>
      <w:b/>
      <w:caps/>
      <w:color w:val="4884A2"/>
      <w:sz w:val="24"/>
    </w:rPr>
  </w:style>
  <w:style w:type="character" w:customStyle="1" w:styleId="Heading2Char">
    <w:name w:val="Heading 2 Char"/>
    <w:link w:val="Heading2"/>
    <w:uiPriority w:val="9"/>
    <w:rsid w:val="00F06BC9"/>
    <w:rPr>
      <w:b/>
      <w:i/>
      <w:color w:val="595959"/>
      <w:sz w:val="24"/>
      <w:szCs w:val="22"/>
    </w:rPr>
  </w:style>
  <w:style w:type="character" w:styleId="Strong">
    <w:name w:val="Strong"/>
    <w:aliases w:val="Subheading"/>
    <w:rsid w:val="000D733F"/>
    <w:rPr>
      <w:color w:val="BC5D58"/>
    </w:rPr>
  </w:style>
  <w:style w:type="paragraph" w:styleId="BodyText2">
    <w:name w:val="Body Text 2"/>
    <w:aliases w:val="Subtitle 1"/>
    <w:basedOn w:val="Normal"/>
    <w:next w:val="BodyText"/>
    <w:link w:val="BodyText2Char"/>
    <w:rsid w:val="00777DD9"/>
    <w:pPr>
      <w:spacing w:before="240" w:after="80" w:line="240" w:lineRule="auto"/>
      <w:ind w:left="-540" w:right="2880"/>
    </w:pPr>
    <w:rPr>
      <w:rFonts w:eastAsia="Times New Roman"/>
      <w:b/>
      <w:caps/>
      <w:color w:val="C93535"/>
      <w:szCs w:val="20"/>
    </w:rPr>
  </w:style>
  <w:style w:type="character" w:customStyle="1" w:styleId="BodyText2Char">
    <w:name w:val="Body Text 2 Char"/>
    <w:aliases w:val="Subtitle 1 Char"/>
    <w:link w:val="BodyText2"/>
    <w:rsid w:val="00777DD9"/>
    <w:rPr>
      <w:rFonts w:ascii="Calibri" w:eastAsia="Times New Roman" w:hAnsi="Calibri" w:cs="Times New Roman"/>
      <w:b/>
      <w:caps/>
      <w:color w:val="C93535"/>
      <w:szCs w:val="20"/>
    </w:rPr>
  </w:style>
  <w:style w:type="paragraph" w:styleId="BodyText">
    <w:name w:val="Body Text"/>
    <w:basedOn w:val="BodyText2"/>
    <w:link w:val="BodyTextChar"/>
    <w:qFormat/>
    <w:rsid w:val="007201D3"/>
    <w:pPr>
      <w:spacing w:after="120" w:line="259" w:lineRule="auto"/>
      <w:ind w:left="0" w:right="0"/>
      <w:jc w:val="both"/>
    </w:pPr>
    <w:rPr>
      <w:rFonts w:cs="Arial"/>
      <w:b w:val="0"/>
      <w:caps w:val="0"/>
      <w:color w:val="595959"/>
      <w:sz w:val="22"/>
    </w:rPr>
  </w:style>
  <w:style w:type="character" w:customStyle="1" w:styleId="BodyTextChar">
    <w:name w:val="Body Text Char"/>
    <w:link w:val="BodyText"/>
    <w:rsid w:val="007201D3"/>
    <w:rPr>
      <w:rFonts w:eastAsia="Times New Roman" w:cs="Arial"/>
      <w:color w:val="595959"/>
      <w:sz w:val="22"/>
    </w:rPr>
  </w:style>
  <w:style w:type="paragraph" w:customStyle="1" w:styleId="H-Heading">
    <w:name w:val="H-Heading"/>
    <w:basedOn w:val="Normal"/>
    <w:link w:val="H-HeadingChar"/>
    <w:qFormat/>
    <w:rsid w:val="00E00FF6"/>
    <w:pPr>
      <w:pBdr>
        <w:bottom w:val="single" w:sz="8" w:space="1" w:color="4884A2"/>
      </w:pBdr>
      <w:spacing w:before="240" w:after="120"/>
    </w:pPr>
    <w:rPr>
      <w:b/>
      <w:caps/>
      <w:color w:val="E5874D"/>
      <w:sz w:val="24"/>
    </w:rPr>
  </w:style>
  <w:style w:type="character" w:customStyle="1" w:styleId="H-HeadingChar">
    <w:name w:val="H-Heading Char"/>
    <w:link w:val="H-Heading"/>
    <w:rsid w:val="00E00FF6"/>
    <w:rPr>
      <w:b/>
      <w:caps/>
      <w:color w:val="E5874D"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00FF6"/>
    <w:pPr>
      <w:spacing w:line="240" w:lineRule="auto"/>
      <w:outlineLvl w:val="0"/>
    </w:pPr>
    <w:rPr>
      <w:rFonts w:cs="Arial"/>
      <w:b/>
      <w:noProof/>
      <w:color w:val="4884A2"/>
      <w:sz w:val="40"/>
    </w:rPr>
  </w:style>
  <w:style w:type="character" w:customStyle="1" w:styleId="TitleChar">
    <w:name w:val="Title Char"/>
    <w:link w:val="Title"/>
    <w:uiPriority w:val="10"/>
    <w:rsid w:val="00E00FF6"/>
    <w:rPr>
      <w:rFonts w:cs="Arial"/>
      <w:b/>
      <w:noProof/>
      <w:color w:val="4884A2"/>
      <w:sz w:val="40"/>
      <w:szCs w:val="22"/>
    </w:rPr>
  </w:style>
  <w:style w:type="paragraph" w:styleId="Header">
    <w:name w:val="header"/>
    <w:basedOn w:val="Normal"/>
    <w:link w:val="HeaderChar"/>
    <w:uiPriority w:val="99"/>
    <w:unhideWhenUsed/>
    <w:rsid w:val="0077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77D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DD9"/>
    <w:rPr>
      <w:rFonts w:ascii="Calibri" w:eastAsia="Calibri" w:hAnsi="Calibri" w:cs="Times New Roman"/>
    </w:rPr>
  </w:style>
  <w:style w:type="character" w:styleId="SubtleReference">
    <w:name w:val="Subtle Reference"/>
    <w:uiPriority w:val="31"/>
    <w:rsid w:val="00BA0696"/>
    <w:rPr>
      <w:rFonts w:ascii="Calibri" w:hAnsi="Calibri"/>
      <w:dstrike w:val="0"/>
      <w:color w:val="7F7F7F"/>
      <w:sz w:val="16"/>
      <w:u w:val="none"/>
      <w:vertAlign w:val="baseline"/>
    </w:rPr>
  </w:style>
  <w:style w:type="table" w:styleId="TableGrid">
    <w:name w:val="Table Grid"/>
    <w:basedOn w:val="TableNormal"/>
    <w:uiPriority w:val="39"/>
    <w:rsid w:val="0023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heading">
    <w:name w:val="Text box heading"/>
    <w:basedOn w:val="BodyText2"/>
    <w:link w:val="TextboxheadingChar"/>
    <w:rsid w:val="002364F9"/>
    <w:pPr>
      <w:ind w:left="0" w:right="0"/>
    </w:pPr>
    <w:rPr>
      <w:color w:val="FFFFFF"/>
      <w:sz w:val="28"/>
    </w:rPr>
  </w:style>
  <w:style w:type="character" w:customStyle="1" w:styleId="TextboxheadingChar">
    <w:name w:val="Text box heading Char"/>
    <w:link w:val="Textboxheading"/>
    <w:rsid w:val="002364F9"/>
    <w:rPr>
      <w:rFonts w:ascii="Calibri" w:eastAsia="Times New Roman" w:hAnsi="Calibri" w:cs="Times New Roman"/>
      <w:b/>
      <w:caps/>
      <w:color w:val="FFFFFF"/>
      <w:sz w:val="28"/>
      <w:szCs w:val="20"/>
    </w:rPr>
  </w:style>
  <w:style w:type="paragraph" w:customStyle="1" w:styleId="BulletlistHighlight">
    <w:name w:val="Bullet list Highlight"/>
    <w:basedOn w:val="BodyText"/>
    <w:link w:val="BulletlistHighlightChar"/>
    <w:rsid w:val="0082527D"/>
    <w:pPr>
      <w:numPr>
        <w:numId w:val="1"/>
      </w:numPr>
      <w:spacing w:before="120"/>
    </w:pPr>
    <w:rPr>
      <w:color w:val="FFFFFF"/>
    </w:rPr>
  </w:style>
  <w:style w:type="character" w:customStyle="1" w:styleId="BulletlistHighlightChar">
    <w:name w:val="Bullet list Highlight Char"/>
    <w:link w:val="BulletlistHighlight"/>
    <w:rsid w:val="0082527D"/>
    <w:rPr>
      <w:rFonts w:ascii="Calibri" w:eastAsia="Times New Roman" w:hAnsi="Calibri" w:cs="Arial"/>
      <w:color w:val="FFFFFF"/>
      <w:sz w:val="20"/>
      <w:szCs w:val="20"/>
    </w:rPr>
  </w:style>
  <w:style w:type="paragraph" w:customStyle="1" w:styleId="BulletList">
    <w:name w:val="Bullet List"/>
    <w:basedOn w:val="BodyText"/>
    <w:link w:val="BulletListChar"/>
    <w:qFormat/>
    <w:rsid w:val="007201D3"/>
    <w:pPr>
      <w:numPr>
        <w:numId w:val="2"/>
      </w:numPr>
      <w:spacing w:before="120"/>
    </w:pPr>
  </w:style>
  <w:style w:type="character" w:customStyle="1" w:styleId="BulletListChar">
    <w:name w:val="Bullet List Char"/>
    <w:basedOn w:val="BodyTextChar"/>
    <w:link w:val="BulletList"/>
    <w:rsid w:val="007201D3"/>
    <w:rPr>
      <w:rFonts w:eastAsia="Times New Roman" w:cs="Arial"/>
      <w:color w:val="595959"/>
      <w:sz w:val="22"/>
    </w:rPr>
  </w:style>
  <w:style w:type="paragraph" w:customStyle="1" w:styleId="H-Text">
    <w:name w:val="H-Text"/>
    <w:basedOn w:val="Heading2"/>
    <w:link w:val="H-TextChar"/>
    <w:qFormat/>
    <w:rsid w:val="00281307"/>
    <w:pPr>
      <w:spacing w:before="120"/>
    </w:pPr>
    <w:rPr>
      <w:b w:val="0"/>
      <w:i w:val="0"/>
      <w:sz w:val="22"/>
    </w:rPr>
  </w:style>
  <w:style w:type="character" w:customStyle="1" w:styleId="Heading3Char">
    <w:name w:val="Heading 3 Char"/>
    <w:link w:val="Heading3"/>
    <w:uiPriority w:val="9"/>
    <w:rsid w:val="00F06BC9"/>
    <w:rPr>
      <w:i/>
      <w:color w:val="595959"/>
      <w:sz w:val="24"/>
      <w:szCs w:val="22"/>
    </w:rPr>
  </w:style>
  <w:style w:type="character" w:customStyle="1" w:styleId="H-TextChar">
    <w:name w:val="H-Text Char"/>
    <w:link w:val="H-Text"/>
    <w:rsid w:val="00281307"/>
    <w:rPr>
      <w:color w:val="595959"/>
      <w:sz w:val="22"/>
      <w:szCs w:val="22"/>
    </w:rPr>
  </w:style>
  <w:style w:type="paragraph" w:customStyle="1" w:styleId="T-Heading">
    <w:name w:val="T-Heading"/>
    <w:basedOn w:val="Normal"/>
    <w:link w:val="T-HeadingChar"/>
    <w:qFormat/>
    <w:rsid w:val="0084048C"/>
    <w:pPr>
      <w:spacing w:before="120" w:after="120" w:line="240" w:lineRule="auto"/>
      <w:jc w:val="center"/>
    </w:pPr>
    <w:rPr>
      <w:b/>
      <w:caps/>
      <w:color w:val="FFFFFF"/>
      <w:sz w:val="28"/>
      <w:szCs w:val="20"/>
    </w:rPr>
  </w:style>
  <w:style w:type="paragraph" w:customStyle="1" w:styleId="T-Text">
    <w:name w:val="T-Text"/>
    <w:basedOn w:val="Normal"/>
    <w:link w:val="T-TextChar"/>
    <w:qFormat/>
    <w:rsid w:val="007201D3"/>
    <w:pPr>
      <w:spacing w:before="120" w:after="120" w:line="240" w:lineRule="auto"/>
    </w:pPr>
    <w:rPr>
      <w:sz w:val="22"/>
      <w:szCs w:val="20"/>
    </w:rPr>
  </w:style>
  <w:style w:type="character" w:customStyle="1" w:styleId="T-HeadingChar">
    <w:name w:val="T-Heading Char"/>
    <w:link w:val="T-Heading"/>
    <w:rsid w:val="0084048C"/>
    <w:rPr>
      <w:b/>
      <w:caps/>
      <w:color w:val="FFFFFF"/>
      <w:sz w:val="28"/>
      <w:szCs w:val="20"/>
    </w:rPr>
  </w:style>
  <w:style w:type="paragraph" w:styleId="ListParagraph">
    <w:name w:val="List Paragraph"/>
    <w:basedOn w:val="Normal"/>
    <w:link w:val="ListParagraphChar"/>
    <w:uiPriority w:val="34"/>
    <w:rsid w:val="004D0A73"/>
    <w:pPr>
      <w:ind w:left="720"/>
      <w:contextualSpacing/>
    </w:pPr>
  </w:style>
  <w:style w:type="character" w:customStyle="1" w:styleId="T-TextChar">
    <w:name w:val="T-Text Char"/>
    <w:link w:val="T-Text"/>
    <w:rsid w:val="007201D3"/>
    <w:rPr>
      <w:color w:val="595959"/>
      <w:sz w:val="22"/>
    </w:rPr>
  </w:style>
  <w:style w:type="paragraph" w:customStyle="1" w:styleId="T-BulletList">
    <w:name w:val="T-Bullet List"/>
    <w:basedOn w:val="ListParagraph"/>
    <w:link w:val="T-BulletListChar"/>
    <w:qFormat/>
    <w:rsid w:val="007201D3"/>
    <w:pPr>
      <w:numPr>
        <w:numId w:val="11"/>
      </w:numPr>
      <w:spacing w:before="120" w:after="120" w:line="240" w:lineRule="auto"/>
      <w:contextualSpacing w:val="0"/>
    </w:pPr>
    <w:rPr>
      <w:sz w:val="22"/>
      <w:szCs w:val="20"/>
    </w:rPr>
  </w:style>
  <w:style w:type="paragraph" w:customStyle="1" w:styleId="H-BulletList0">
    <w:name w:val="H-Bullet List"/>
    <w:basedOn w:val="T-BulletList"/>
    <w:link w:val="H-BulletListChar"/>
    <w:rsid w:val="007201D3"/>
    <w:pPr>
      <w:numPr>
        <w:numId w:val="3"/>
      </w:numPr>
    </w:pPr>
    <w:rPr>
      <w:szCs w:val="24"/>
    </w:rPr>
  </w:style>
  <w:style w:type="character" w:customStyle="1" w:styleId="ListParagraphChar">
    <w:name w:val="List Paragraph Char"/>
    <w:link w:val="ListParagraph"/>
    <w:uiPriority w:val="34"/>
    <w:rsid w:val="003774F7"/>
    <w:rPr>
      <w:rFonts w:ascii="Calibri" w:eastAsia="Calibri" w:hAnsi="Calibri" w:cs="Times New Roman"/>
    </w:rPr>
  </w:style>
  <w:style w:type="character" w:customStyle="1" w:styleId="T-BulletListChar">
    <w:name w:val="T-Bullet List Char"/>
    <w:link w:val="T-BulletList"/>
    <w:rsid w:val="007201D3"/>
    <w:rPr>
      <w:color w:val="595959"/>
      <w:sz w:val="22"/>
    </w:rPr>
  </w:style>
  <w:style w:type="paragraph" w:customStyle="1" w:styleId="LR-Heading">
    <w:name w:val="LR-Heading"/>
    <w:basedOn w:val="Textboxheading"/>
    <w:link w:val="LR-HeadingChar"/>
    <w:qFormat/>
    <w:rsid w:val="00E00FF6"/>
    <w:pPr>
      <w:spacing w:before="120" w:after="120"/>
    </w:pPr>
    <w:rPr>
      <w:color w:val="E5874D"/>
    </w:rPr>
  </w:style>
  <w:style w:type="character" w:customStyle="1" w:styleId="H-BulletListChar">
    <w:name w:val="H-Bullet List Char"/>
    <w:link w:val="H-BulletList0"/>
    <w:rsid w:val="007201D3"/>
    <w:rPr>
      <w:color w:val="595959"/>
      <w:sz w:val="22"/>
      <w:szCs w:val="24"/>
    </w:rPr>
  </w:style>
  <w:style w:type="paragraph" w:customStyle="1" w:styleId="LR-Text">
    <w:name w:val="LR-Text"/>
    <w:basedOn w:val="BulletlistHighlight"/>
    <w:link w:val="LR-TextChar"/>
    <w:qFormat/>
    <w:rsid w:val="007201D3"/>
    <w:pPr>
      <w:numPr>
        <w:numId w:val="0"/>
      </w:numPr>
    </w:pPr>
    <w:rPr>
      <w:color w:val="595959"/>
    </w:rPr>
  </w:style>
  <w:style w:type="character" w:customStyle="1" w:styleId="LR-HeadingChar">
    <w:name w:val="LR-Heading Char"/>
    <w:link w:val="LR-Heading"/>
    <w:rsid w:val="00E00FF6"/>
    <w:rPr>
      <w:rFonts w:eastAsia="Times New Roman"/>
      <w:b/>
      <w:caps/>
      <w:color w:val="E5874D"/>
      <w:sz w:val="28"/>
    </w:rPr>
  </w:style>
  <w:style w:type="paragraph" w:customStyle="1" w:styleId="LR-BulletList">
    <w:name w:val="LR-Bullet List"/>
    <w:basedOn w:val="BulletlistHighlight"/>
    <w:link w:val="LR-BulletListChar"/>
    <w:qFormat/>
    <w:rsid w:val="007201D3"/>
    <w:rPr>
      <w:color w:val="595959"/>
    </w:rPr>
  </w:style>
  <w:style w:type="character" w:customStyle="1" w:styleId="LR-TextChar">
    <w:name w:val="LR-Text Char"/>
    <w:link w:val="LR-Text"/>
    <w:rsid w:val="007201D3"/>
    <w:rPr>
      <w:rFonts w:eastAsia="Times New Roman" w:cs="Arial"/>
      <w:color w:val="595959"/>
      <w:sz w:val="22"/>
    </w:rPr>
  </w:style>
  <w:style w:type="paragraph" w:customStyle="1" w:styleId="FooterText">
    <w:name w:val="Footer Text"/>
    <w:basedOn w:val="Normal"/>
    <w:link w:val="FooterTextChar"/>
    <w:rsid w:val="003774F7"/>
    <w:rPr>
      <w:rFonts w:ascii="Verdana" w:hAnsi="Verdana"/>
    </w:rPr>
  </w:style>
  <w:style w:type="character" w:customStyle="1" w:styleId="LR-BulletListChar">
    <w:name w:val="LR-Bullet List Char"/>
    <w:link w:val="LR-BulletList"/>
    <w:rsid w:val="007201D3"/>
    <w:rPr>
      <w:rFonts w:eastAsia="Times New Roman" w:cs="Arial"/>
      <w:color w:val="595959"/>
      <w:sz w:val="22"/>
    </w:rPr>
  </w:style>
  <w:style w:type="paragraph" w:customStyle="1" w:styleId="Providedby">
    <w:name w:val="Provided by"/>
    <w:basedOn w:val="BodyText"/>
    <w:link w:val="ProvidedbyChar"/>
    <w:rsid w:val="003774F7"/>
    <w:pPr>
      <w:ind w:right="-10"/>
    </w:pPr>
    <w:rPr>
      <w:b/>
      <w:noProof/>
      <w:color w:val="BC5D58"/>
    </w:rPr>
  </w:style>
  <w:style w:type="character" w:customStyle="1" w:styleId="FooterTextChar">
    <w:name w:val="Footer Text Char"/>
    <w:link w:val="FooterText"/>
    <w:rsid w:val="003774F7"/>
    <w:rPr>
      <w:rFonts w:ascii="Verdana" w:eastAsia="Calibri" w:hAnsi="Verdana" w:cs="Times New Roman"/>
    </w:rPr>
  </w:style>
  <w:style w:type="character" w:customStyle="1" w:styleId="ProvidedbyChar">
    <w:name w:val="Provided by Char"/>
    <w:link w:val="Providedby"/>
    <w:rsid w:val="003774F7"/>
    <w:rPr>
      <w:rFonts w:ascii="Calibri" w:eastAsia="Times New Roman" w:hAnsi="Calibri" w:cs="Arial"/>
      <w:b/>
      <w:noProof/>
      <w:color w:val="BC5D58"/>
      <w:sz w:val="20"/>
      <w:szCs w:val="20"/>
    </w:rPr>
  </w:style>
  <w:style w:type="paragraph" w:customStyle="1" w:styleId="MergeField">
    <w:name w:val="Merge Field"/>
    <w:basedOn w:val="Providedby"/>
    <w:link w:val="MergeFieldChar"/>
    <w:qFormat/>
    <w:rsid w:val="00E00FF6"/>
    <w:rPr>
      <w:color w:val="4884A2"/>
    </w:rPr>
  </w:style>
  <w:style w:type="paragraph" w:customStyle="1" w:styleId="Numbering">
    <w:name w:val="Numbering"/>
    <w:basedOn w:val="BodyText"/>
    <w:link w:val="NumberingChar"/>
    <w:qFormat/>
    <w:rsid w:val="00F0224A"/>
    <w:pPr>
      <w:numPr>
        <w:numId w:val="10"/>
      </w:numPr>
      <w:spacing w:before="120"/>
    </w:pPr>
  </w:style>
  <w:style w:type="character" w:customStyle="1" w:styleId="MergeFieldChar">
    <w:name w:val="Merge Field Char"/>
    <w:link w:val="MergeField"/>
    <w:rsid w:val="00E00FF6"/>
    <w:rPr>
      <w:rFonts w:ascii="Calibri" w:eastAsia="Times New Roman" w:hAnsi="Calibri" w:cs="Arial"/>
      <w:b/>
      <w:noProof/>
      <w:color w:val="4884A2"/>
      <w:sz w:val="22"/>
      <w:szCs w:val="20"/>
    </w:rPr>
  </w:style>
  <w:style w:type="paragraph" w:customStyle="1" w:styleId="Disclaimer">
    <w:name w:val="Disclaimer"/>
    <w:basedOn w:val="FooterText"/>
    <w:link w:val="DisclaimerChar"/>
    <w:qFormat/>
    <w:rsid w:val="00947E11"/>
    <w:rPr>
      <w:color w:val="7F7F7F"/>
      <w:sz w:val="16"/>
    </w:rPr>
  </w:style>
  <w:style w:type="character" w:customStyle="1" w:styleId="NumberingChar">
    <w:name w:val="Numbering Char"/>
    <w:basedOn w:val="BodyTextChar"/>
    <w:link w:val="Numbering"/>
    <w:rsid w:val="00F0224A"/>
    <w:rPr>
      <w:rFonts w:eastAsia="Times New Roman" w:cs="Arial"/>
      <w:color w:val="595959"/>
      <w:sz w:val="22"/>
    </w:rPr>
  </w:style>
  <w:style w:type="paragraph" w:customStyle="1" w:styleId="Bullets">
    <w:name w:val="Bullets"/>
    <w:basedOn w:val="BodyText"/>
    <w:link w:val="BulletsChar"/>
    <w:rsid w:val="00E00FF6"/>
    <w:pPr>
      <w:numPr>
        <w:numId w:val="13"/>
      </w:numPr>
      <w:spacing w:before="120" w:after="240"/>
    </w:pPr>
  </w:style>
  <w:style w:type="character" w:customStyle="1" w:styleId="DisclaimerChar">
    <w:name w:val="Disclaimer Char"/>
    <w:link w:val="Disclaimer"/>
    <w:rsid w:val="00947E11"/>
    <w:rPr>
      <w:rFonts w:ascii="Verdana" w:eastAsia="Calibri" w:hAnsi="Verdana" w:cs="Times New Roman"/>
      <w:color w:val="7F7F7F"/>
      <w:sz w:val="16"/>
    </w:rPr>
  </w:style>
  <w:style w:type="character" w:customStyle="1" w:styleId="BulletsChar">
    <w:name w:val="Bullets Char"/>
    <w:link w:val="Bullets"/>
    <w:rsid w:val="00E00FF6"/>
    <w:rPr>
      <w:rFonts w:eastAsia="Times New Roman" w:cs="Arial"/>
      <w:color w:val="595959"/>
      <w:sz w:val="22"/>
    </w:rPr>
  </w:style>
  <w:style w:type="paragraph" w:customStyle="1" w:styleId="H-Bulletlist">
    <w:name w:val="H-Bullet list"/>
    <w:basedOn w:val="H-Text"/>
    <w:link w:val="H-BulletlistChar0"/>
    <w:qFormat/>
    <w:rsid w:val="00E00FF6"/>
    <w:pPr>
      <w:numPr>
        <w:numId w:val="12"/>
      </w:numPr>
      <w:spacing w:line="240" w:lineRule="auto"/>
      <w:ind w:left="273" w:hanging="187"/>
    </w:pPr>
  </w:style>
  <w:style w:type="character" w:customStyle="1" w:styleId="H-BulletlistChar0">
    <w:name w:val="H-Bullet list Char"/>
    <w:link w:val="H-Bulletlist"/>
    <w:rsid w:val="00E00FF6"/>
    <w:rPr>
      <w:color w:val="595959"/>
      <w:sz w:val="22"/>
      <w:szCs w:val="22"/>
    </w:rPr>
  </w:style>
  <w:style w:type="paragraph" w:customStyle="1" w:styleId="Style1">
    <w:name w:val="Style1"/>
    <w:basedOn w:val="Normal"/>
    <w:link w:val="Style1Char"/>
    <w:rsid w:val="00F06BC9"/>
    <w:pPr>
      <w:pBdr>
        <w:bottom w:val="single" w:sz="18" w:space="1" w:color="4884A2"/>
      </w:pBdr>
      <w:spacing w:line="312" w:lineRule="auto"/>
    </w:pPr>
    <w:rPr>
      <w:b/>
      <w:i/>
      <w:color w:val="4884A2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947E8E"/>
    <w:rPr>
      <w:color w:val="0563C1" w:themeColor="hyperlink"/>
      <w:u w:val="single"/>
    </w:rPr>
  </w:style>
  <w:style w:type="character" w:customStyle="1" w:styleId="Style1Char">
    <w:name w:val="Style1 Char"/>
    <w:link w:val="Style1"/>
    <w:rsid w:val="00F06BC9"/>
    <w:rPr>
      <w:b/>
      <w:i/>
      <w:color w:val="4884A2"/>
      <w:sz w:val="32"/>
      <w:szCs w:val="26"/>
    </w:rPr>
  </w:style>
  <w:style w:type="paragraph" w:customStyle="1" w:styleId="Bulletlist0">
    <w:name w:val="Bullet list"/>
    <w:basedOn w:val="BodyText"/>
    <w:rsid w:val="00947E8E"/>
    <w:pPr>
      <w:spacing w:before="120" w:after="240"/>
      <w:ind w:left="216" w:hanging="216"/>
    </w:pPr>
    <w:rPr>
      <w:color w:val="FFFFFF"/>
    </w:rPr>
  </w:style>
  <w:style w:type="paragraph" w:customStyle="1" w:styleId="LR-Bulletlist0">
    <w:name w:val="L&amp;R-Bullet list"/>
    <w:basedOn w:val="Bulletlist0"/>
    <w:link w:val="LR-BulletlistChar0"/>
    <w:qFormat/>
    <w:rsid w:val="00947E8E"/>
    <w:pPr>
      <w:spacing w:before="0"/>
    </w:pPr>
  </w:style>
  <w:style w:type="character" w:customStyle="1" w:styleId="LR-BulletlistChar0">
    <w:name w:val="L&amp;R-Bullet list Char"/>
    <w:link w:val="LR-Bulletlist0"/>
    <w:rsid w:val="00947E8E"/>
    <w:rPr>
      <w:rFonts w:eastAsia="Times New Roman" w:cs="Arial"/>
      <w:color w:val="FFFFF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B47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541"/>
    <w:rPr>
      <w:rFonts w:ascii="Segoe UI" w:hAnsi="Segoe UI" w:cs="Segoe UI"/>
      <w:color w:val="595959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4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E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EAE"/>
    <w:rPr>
      <w:color w:val="59595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EAE"/>
    <w:rPr>
      <w:b/>
      <w:bCs/>
      <w:color w:val="5959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rs.gov/irb/2019-22_IRB" TargetMode="External"/><Relationship Id="rId18" Type="http://schemas.openxmlformats.org/officeDocument/2006/relationships/hyperlink" Target="http://www.law.cornell.edu/uscode/text/26/12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rs.gov/publications/p969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irs.gov/irb/2019-22_IRB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law.cornell.edu/uscode/text/26/21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rs.gov/publications/p96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6F48-D469-46E7-8008-2C82BFFA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5096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Erin.Margerie@zywave.com</dc:creator>
  <cp:lastModifiedBy>Suzanne Swanson</cp:lastModifiedBy>
  <cp:revision>2</cp:revision>
  <dcterms:created xsi:type="dcterms:W3CDTF">2019-10-14T15:25:00Z</dcterms:created>
  <dcterms:modified xsi:type="dcterms:W3CDTF">2019-10-14T15:25:00Z</dcterms:modified>
</cp:coreProperties>
</file>