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569A2" w14:textId="77777777" w:rsidR="00B74ACA" w:rsidRDefault="00B74ACA" w:rsidP="00B74ACA">
      <w:pPr>
        <w:rPr>
          <w:b/>
          <w:bCs/>
          <w:sz w:val="28"/>
          <w:szCs w:val="28"/>
        </w:rPr>
      </w:pPr>
      <w:r w:rsidRPr="000666F6">
        <w:rPr>
          <w:b/>
          <w:bCs/>
          <w:sz w:val="28"/>
          <w:szCs w:val="28"/>
          <w:highlight w:val="yellow"/>
        </w:rPr>
        <w:t>January – Check It Off</w:t>
      </w:r>
    </w:p>
    <w:p w14:paraId="48B251D4" w14:textId="77777777" w:rsidR="00B74ACA" w:rsidRDefault="00B74ACA" w:rsidP="00B74ACA">
      <w:pPr>
        <w:rPr>
          <w:sz w:val="28"/>
          <w:szCs w:val="28"/>
        </w:rPr>
      </w:pPr>
      <w:r w:rsidRPr="00F9613E">
        <w:rPr>
          <w:b/>
          <w:bCs/>
          <w:sz w:val="28"/>
          <w:szCs w:val="28"/>
        </w:rPr>
        <w:t>Subject:</w:t>
      </w:r>
      <w:r w:rsidRPr="00F9613E">
        <w:rPr>
          <w:sz w:val="28"/>
          <w:szCs w:val="28"/>
        </w:rPr>
        <w:t xml:space="preserve"> </w:t>
      </w:r>
      <w:r w:rsidRPr="00AF3DD9">
        <w:rPr>
          <w:sz w:val="28"/>
          <w:szCs w:val="28"/>
        </w:rPr>
        <w:t>Kick Off 2026 With a Health Check-In</w:t>
      </w:r>
      <w:r>
        <w:rPr>
          <w:sz w:val="28"/>
          <w:szCs w:val="28"/>
        </w:rPr>
        <w:t xml:space="preserve"> </w:t>
      </w:r>
      <w:r w:rsidRPr="00AD2C27">
        <w:rPr>
          <w:rFonts w:ascii="Segoe UI Emoji" w:hAnsi="Segoe UI Emoji" w:cs="Segoe UI Emoji"/>
          <w:sz w:val="28"/>
          <w:szCs w:val="28"/>
        </w:rPr>
        <w:t>🩺</w:t>
      </w:r>
    </w:p>
    <w:p w14:paraId="7BFA1418" w14:textId="77777777" w:rsidR="00B74ACA" w:rsidRDefault="00B74ACA" w:rsidP="00B74ACA">
      <w:pPr>
        <w:rPr>
          <w:sz w:val="28"/>
          <w:szCs w:val="28"/>
        </w:rPr>
      </w:pPr>
      <w:r w:rsidRPr="00277296">
        <w:rPr>
          <w:sz w:val="28"/>
          <w:szCs w:val="28"/>
        </w:rPr>
        <w:t xml:space="preserve">A new year is a clean slate — the perfect time to prioritize your health. Preventive care isn’t just about avoiding illness; it’s about catching issues early, staying </w:t>
      </w:r>
      <w:r>
        <w:rPr>
          <w:sz w:val="28"/>
          <w:szCs w:val="28"/>
        </w:rPr>
        <w:t>vibrant</w:t>
      </w:r>
      <w:r w:rsidRPr="00277296">
        <w:rPr>
          <w:sz w:val="28"/>
          <w:szCs w:val="28"/>
        </w:rPr>
        <w:t xml:space="preserve">, and </w:t>
      </w:r>
      <w:r>
        <w:rPr>
          <w:sz w:val="28"/>
          <w:szCs w:val="28"/>
        </w:rPr>
        <w:t>making a health plan</w:t>
      </w:r>
      <w:r w:rsidRPr="00277296">
        <w:rPr>
          <w:sz w:val="28"/>
          <w:szCs w:val="28"/>
        </w:rPr>
        <w:t xml:space="preserve"> for the year ahead.</w:t>
      </w:r>
    </w:p>
    <w:p w14:paraId="43E1D401" w14:textId="77777777" w:rsidR="00B74ACA" w:rsidRPr="00242242" w:rsidRDefault="00B74ACA" w:rsidP="00B74ACA">
      <w:pPr>
        <w:rPr>
          <w:sz w:val="28"/>
          <w:szCs w:val="28"/>
        </w:rPr>
      </w:pPr>
      <w:r w:rsidRPr="00242242">
        <w:rPr>
          <w:b/>
          <w:bCs/>
          <w:sz w:val="28"/>
          <w:szCs w:val="28"/>
        </w:rPr>
        <w:t>This month, consider scheduling:</w:t>
      </w:r>
    </w:p>
    <w:p w14:paraId="498F0ACC" w14:textId="77777777" w:rsidR="00B74ACA" w:rsidRPr="00242242" w:rsidRDefault="00B74ACA" w:rsidP="00B74ACA">
      <w:pPr>
        <w:numPr>
          <w:ilvl w:val="0"/>
          <w:numId w:val="1"/>
        </w:numPr>
        <w:rPr>
          <w:sz w:val="28"/>
          <w:szCs w:val="28"/>
        </w:rPr>
      </w:pPr>
      <w:r w:rsidRPr="00242242">
        <w:rPr>
          <w:b/>
          <w:bCs/>
          <w:sz w:val="28"/>
          <w:szCs w:val="28"/>
        </w:rPr>
        <w:t>Annual wellness exam</w:t>
      </w:r>
      <w:r w:rsidRPr="00242242">
        <w:rPr>
          <w:sz w:val="28"/>
          <w:szCs w:val="28"/>
        </w:rPr>
        <w:t xml:space="preserve"> – </w:t>
      </w:r>
      <w:r w:rsidRPr="00FC16C4">
        <w:rPr>
          <w:sz w:val="28"/>
          <w:szCs w:val="28"/>
        </w:rPr>
        <w:t xml:space="preserve">a check-in with your </w:t>
      </w:r>
      <w:r>
        <w:rPr>
          <w:sz w:val="28"/>
          <w:szCs w:val="28"/>
        </w:rPr>
        <w:t xml:space="preserve">primary care </w:t>
      </w:r>
      <w:r w:rsidRPr="00FC16C4">
        <w:rPr>
          <w:sz w:val="28"/>
          <w:szCs w:val="28"/>
        </w:rPr>
        <w:t xml:space="preserve">provider to review your overall health, update vaccines, and discuss recommended </w:t>
      </w:r>
      <w:r>
        <w:rPr>
          <w:sz w:val="28"/>
          <w:szCs w:val="28"/>
        </w:rPr>
        <w:t xml:space="preserve">disease and cancer </w:t>
      </w:r>
      <w:r w:rsidRPr="00FC16C4">
        <w:rPr>
          <w:sz w:val="28"/>
          <w:szCs w:val="28"/>
        </w:rPr>
        <w:t>screenings. Want to know which screenings might apply to you?</w:t>
      </w:r>
      <w:r w:rsidRPr="003B09A8">
        <w:rPr>
          <w:sz w:val="28"/>
          <w:szCs w:val="28"/>
        </w:rPr>
        <w:t xml:space="preserve"> T</w:t>
      </w:r>
      <w:r>
        <w:rPr>
          <w:sz w:val="28"/>
          <w:szCs w:val="28"/>
        </w:rPr>
        <w:t>ry the</w:t>
      </w:r>
      <w:r w:rsidRPr="003B09A8">
        <w:rPr>
          <w:sz w:val="28"/>
          <w:szCs w:val="28"/>
        </w:rPr>
        <w:t xml:space="preserve"> free </w:t>
      </w:r>
      <w:hyperlink r:id="rId5" w:history="1">
        <w:proofErr w:type="spellStart"/>
        <w:r w:rsidRPr="003577A7">
          <w:rPr>
            <w:rStyle w:val="Hyperlink"/>
            <w:b/>
            <w:bCs/>
            <w:sz w:val="28"/>
            <w:szCs w:val="28"/>
          </w:rPr>
          <w:t>MyHealthfinder</w:t>
        </w:r>
        <w:proofErr w:type="spellEnd"/>
        <w:r w:rsidRPr="003577A7">
          <w:rPr>
            <w:rStyle w:val="Hyperlink"/>
            <w:b/>
            <w:bCs/>
            <w:sz w:val="28"/>
            <w:szCs w:val="28"/>
          </w:rPr>
          <w:t xml:space="preserve"> tool</w:t>
        </w:r>
      </w:hyperlink>
      <w:r w:rsidRPr="003B09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for </w:t>
      </w:r>
      <w:r w:rsidRPr="003B09A8">
        <w:rPr>
          <w:sz w:val="28"/>
          <w:szCs w:val="28"/>
        </w:rPr>
        <w:t>personalized recommendations based on your age and health.</w:t>
      </w:r>
    </w:p>
    <w:p w14:paraId="0F9E052F" w14:textId="77777777" w:rsidR="00B74ACA" w:rsidRPr="00242242" w:rsidRDefault="00B74ACA" w:rsidP="00B74ACA">
      <w:pPr>
        <w:numPr>
          <w:ilvl w:val="0"/>
          <w:numId w:val="1"/>
        </w:numPr>
        <w:rPr>
          <w:sz w:val="28"/>
          <w:szCs w:val="28"/>
        </w:rPr>
      </w:pPr>
      <w:r w:rsidRPr="00242242">
        <w:rPr>
          <w:b/>
          <w:bCs/>
          <w:sz w:val="28"/>
          <w:szCs w:val="28"/>
        </w:rPr>
        <w:t>Cancer screenings</w:t>
      </w:r>
      <w:r w:rsidRPr="00242242">
        <w:rPr>
          <w:sz w:val="28"/>
          <w:szCs w:val="28"/>
        </w:rPr>
        <w:t xml:space="preserve"> – </w:t>
      </w:r>
      <w:r w:rsidRPr="00E7028A">
        <w:rPr>
          <w:sz w:val="28"/>
          <w:szCs w:val="28"/>
        </w:rPr>
        <w:t>mammograms, Pap tests, colonoscopies, or skin checks can detect problems early, when treatment is most effective.</w:t>
      </w:r>
      <w:r>
        <w:rPr>
          <w:sz w:val="28"/>
          <w:szCs w:val="28"/>
        </w:rPr>
        <w:t xml:space="preserve"> </w:t>
      </w:r>
      <w:r w:rsidRPr="00242242">
        <w:rPr>
          <w:sz w:val="28"/>
          <w:szCs w:val="28"/>
        </w:rPr>
        <w:t>Ask your provider which ones are right for you based on your age and risk factors.</w:t>
      </w:r>
      <w:r>
        <w:rPr>
          <w:sz w:val="28"/>
          <w:szCs w:val="28"/>
        </w:rPr>
        <w:t xml:space="preserve"> </w:t>
      </w:r>
    </w:p>
    <w:p w14:paraId="3C39A415" w14:textId="77777777" w:rsidR="00B74ACA" w:rsidRDefault="00B74ACA" w:rsidP="00B74ACA">
      <w:pPr>
        <w:numPr>
          <w:ilvl w:val="0"/>
          <w:numId w:val="1"/>
        </w:numPr>
        <w:rPr>
          <w:sz w:val="28"/>
          <w:szCs w:val="28"/>
        </w:rPr>
      </w:pPr>
      <w:r w:rsidRPr="00242242">
        <w:rPr>
          <w:b/>
          <w:bCs/>
          <w:sz w:val="28"/>
          <w:szCs w:val="28"/>
        </w:rPr>
        <w:t>Dental and vision visits</w:t>
      </w:r>
      <w:r w:rsidRPr="00242242">
        <w:rPr>
          <w:sz w:val="28"/>
          <w:szCs w:val="28"/>
        </w:rPr>
        <w:t xml:space="preserve"> – </w:t>
      </w:r>
      <w:r w:rsidRPr="00BE160F">
        <w:rPr>
          <w:sz w:val="28"/>
          <w:szCs w:val="28"/>
        </w:rPr>
        <w:t>protect your smile and your sight. These visits also act as early detection tools for conditions like diabetes, heart disease, and some cancers.</w:t>
      </w:r>
    </w:p>
    <w:p w14:paraId="0A588276" w14:textId="77777777" w:rsidR="00B74ACA" w:rsidRPr="009E300A" w:rsidRDefault="00B74ACA" w:rsidP="00B74ACA">
      <w:pPr>
        <w:rPr>
          <w:sz w:val="28"/>
          <w:szCs w:val="28"/>
        </w:rPr>
      </w:pPr>
      <w:r w:rsidRPr="009E300A">
        <w:rPr>
          <w:b/>
          <w:bCs/>
          <w:sz w:val="28"/>
          <w:szCs w:val="28"/>
        </w:rPr>
        <w:t>Coverage Reminder:</w:t>
      </w:r>
      <w:r w:rsidRPr="009E300A">
        <w:rPr>
          <w:sz w:val="28"/>
          <w:szCs w:val="28"/>
        </w:rPr>
        <w:br/>
      </w:r>
      <w:r w:rsidRPr="00DE5BFE">
        <w:rPr>
          <w:sz w:val="28"/>
          <w:szCs w:val="28"/>
        </w:rPr>
        <w:t>Most preventive services are covered at 100% when you use an in-network provider — meaning these important visits often come at no cost to you</w:t>
      </w:r>
      <w:r>
        <w:rPr>
          <w:sz w:val="28"/>
          <w:szCs w:val="28"/>
        </w:rPr>
        <w:t xml:space="preserve">. </w:t>
      </w:r>
      <w:r w:rsidRPr="009E300A">
        <w:rPr>
          <w:sz w:val="28"/>
          <w:szCs w:val="28"/>
        </w:rPr>
        <w:t>Be sure to check with your health plan to find in-network providers and confirm your coverage.</w:t>
      </w:r>
    </w:p>
    <w:p w14:paraId="0091B1A0" w14:textId="77777777" w:rsidR="00B74ACA" w:rsidRPr="00F9613E" w:rsidRDefault="00B74ACA" w:rsidP="00B74ACA">
      <w:pPr>
        <w:rPr>
          <w:i/>
          <w:iCs/>
          <w:sz w:val="28"/>
          <w:szCs w:val="28"/>
        </w:rPr>
      </w:pPr>
      <w:r w:rsidRPr="00F9613E">
        <w:rPr>
          <w:i/>
          <w:iCs/>
          <w:sz w:val="28"/>
          <w:szCs w:val="28"/>
          <w:highlight w:val="green"/>
        </w:rPr>
        <w:t>Optional Incentive Text:</w:t>
      </w:r>
    </w:p>
    <w:p w14:paraId="705808E9" w14:textId="77777777" w:rsidR="00B74ACA" w:rsidRPr="00F9613E" w:rsidRDefault="00B74ACA" w:rsidP="00B74ACA">
      <w:pPr>
        <w:rPr>
          <w:sz w:val="28"/>
          <w:szCs w:val="28"/>
        </w:rPr>
      </w:pPr>
      <w:r w:rsidRPr="00F9613E">
        <w:rPr>
          <w:sz w:val="28"/>
          <w:szCs w:val="28"/>
        </w:rPr>
        <w:t xml:space="preserve">As a thank you for taking care of your health, employees who complete their preventive care visits will be entered into a raffle for a [reward/gift card/prize]! </w:t>
      </w:r>
      <w:r w:rsidRPr="001639C4">
        <w:rPr>
          <w:i/>
          <w:iCs/>
          <w:sz w:val="28"/>
          <w:szCs w:val="28"/>
        </w:rPr>
        <w:t xml:space="preserve">[Program Administrator to add instructions for </w:t>
      </w:r>
      <w:r>
        <w:rPr>
          <w:i/>
          <w:iCs/>
          <w:sz w:val="28"/>
          <w:szCs w:val="28"/>
        </w:rPr>
        <w:t>how employees qualify for the reward</w:t>
      </w:r>
      <w:r w:rsidRPr="001639C4">
        <w:rPr>
          <w:i/>
          <w:iCs/>
          <w:sz w:val="28"/>
          <w:szCs w:val="28"/>
        </w:rPr>
        <w:t>].</w:t>
      </w:r>
      <w:r>
        <w:rPr>
          <w:sz w:val="28"/>
          <w:szCs w:val="28"/>
        </w:rPr>
        <w:t xml:space="preserve"> </w:t>
      </w:r>
      <w:r w:rsidRPr="00F9613E">
        <w:rPr>
          <w:sz w:val="28"/>
          <w:szCs w:val="28"/>
        </w:rPr>
        <w:t>Make your appointments today to be eligible.</w:t>
      </w:r>
    </w:p>
    <w:p w14:paraId="7C5ABEEA" w14:textId="77777777" w:rsidR="00B74ACA" w:rsidRDefault="00B74ACA" w:rsidP="00B74ACA">
      <w:pPr>
        <w:rPr>
          <w:sz w:val="28"/>
          <w:szCs w:val="28"/>
        </w:rPr>
      </w:pPr>
      <w:r w:rsidRPr="00802405">
        <w:rPr>
          <w:sz w:val="28"/>
          <w:szCs w:val="28"/>
        </w:rPr>
        <w:lastRenderedPageBreak/>
        <w:t>Your health is your greatest asset. Start the year by protecting it — schedule your preventive visits today.</w:t>
      </w:r>
    </w:p>
    <w:p w14:paraId="680B56A8" w14:textId="77777777" w:rsidR="0005726E" w:rsidRDefault="0005726E"/>
    <w:sectPr w:rsidR="000572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26C39"/>
    <w:multiLevelType w:val="multilevel"/>
    <w:tmpl w:val="1C809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5261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ACA"/>
    <w:rsid w:val="0005726E"/>
    <w:rsid w:val="00986037"/>
    <w:rsid w:val="00B7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0573C2"/>
  <w15:chartTrackingRefBased/>
  <w15:docId w15:val="{DACB20C1-F69E-493C-948D-5E84DCD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ACA"/>
  </w:style>
  <w:style w:type="paragraph" w:styleId="Heading1">
    <w:name w:val="heading 1"/>
    <w:basedOn w:val="Normal"/>
    <w:next w:val="Normal"/>
    <w:link w:val="Heading1Char"/>
    <w:uiPriority w:val="9"/>
    <w:qFormat/>
    <w:rsid w:val="00B74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A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A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A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A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A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A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A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A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A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A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A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74AC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dphp.health.gov/myhealthfinder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980BFF797C8A43A29EDC5A666CCEBB" ma:contentTypeVersion="22" ma:contentTypeDescription="Create a new document." ma:contentTypeScope="" ma:versionID="fbd68d19e3b286a6c9ce5fcb727aa3e2">
  <xsd:schema xmlns:xsd="http://www.w3.org/2001/XMLSchema" xmlns:xs="http://www.w3.org/2001/XMLSchema" xmlns:p="http://schemas.microsoft.com/office/2006/metadata/properties" xmlns:ns2="df5f1c64-a2d3-4332-9f8d-c8619b2cba23" xmlns:ns3="0a71efb1-5250-41f9-9a5a-0cbae10a56dd" targetNamespace="http://schemas.microsoft.com/office/2006/metadata/properties" ma:root="true" ma:fieldsID="f2cce41ef5ea72d3977cf84d57322373" ns2:_="" ns3:_="">
    <xsd:import namespace="df5f1c64-a2d3-4332-9f8d-c8619b2cba23"/>
    <xsd:import namespace="0a71efb1-5250-41f9-9a5a-0cbae10a56dd"/>
    <xsd:element name="properties">
      <xsd:complexType>
        <xsd:sequence>
          <xsd:element name="documentManagement">
            <xsd:complexType>
              <xsd:all>
                <xsd:element ref="ns2:test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Lin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f1c64-a2d3-4332-9f8d-c8619b2cba23" elementFormDefault="qualified">
    <xsd:import namespace="http://schemas.microsoft.com/office/2006/documentManagement/types"/>
    <xsd:import namespace="http://schemas.microsoft.com/office/infopath/2007/PartnerControls"/>
    <xsd:element name="test" ma:index="2" nillable="true" ma:displayName="test" ma:format="DateTime" ma:internalName="test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38fdedc-b272-477a-bf77-2e9ca0abd3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6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71efb1-5250-41f9-9a5a-0cbae10a56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4" nillable="true" ma:displayName="Taxonomy Catch All Column" ma:hidden="true" ma:list="{48a27664-d785-459c-ac4e-4a0a4e033b04}" ma:internalName="TaxCatchAll" ma:readOnly="false" ma:showField="CatchAllData" ma:web="0a71efb1-5250-41f9-9a5a-0cbae10a56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a71efb1-5250-41f9-9a5a-0cbae10a56dd" xsi:nil="true"/>
    <Link xmlns="df5f1c64-a2d3-4332-9f8d-c8619b2cba23">
      <Url xsi:nil="true"/>
      <Description xsi:nil="true"/>
    </Link>
    <test xmlns="df5f1c64-a2d3-4332-9f8d-c8619b2cba23" xsi:nil="true"/>
    <lcf76f155ced4ddcb4097134ff3c332f xmlns="df5f1c64-a2d3-4332-9f8d-c8619b2cba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8434AA-4026-4543-AD5D-0FDA83455171}"/>
</file>

<file path=customXml/itemProps2.xml><?xml version="1.0" encoding="utf-8"?>
<ds:datastoreItem xmlns:ds="http://schemas.openxmlformats.org/officeDocument/2006/customXml" ds:itemID="{CEE4F614-0515-42D9-AAA1-39A863A8AB01}"/>
</file>

<file path=customXml/itemProps3.xml><?xml version="1.0" encoding="utf-8"?>
<ds:datastoreItem xmlns:ds="http://schemas.openxmlformats.org/officeDocument/2006/customXml" ds:itemID="{DFCCD642-91DF-4A66-B05A-D651CC8F32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1507</Characters>
  <Application>Microsoft Office Word</Application>
  <DocSecurity>0</DocSecurity>
  <Lines>12</Lines>
  <Paragraphs>3</Paragraphs>
  <ScaleCrop>false</ScaleCrop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Mari</dc:creator>
  <cp:keywords/>
  <dc:description/>
  <cp:lastModifiedBy>Walsh, Mari</cp:lastModifiedBy>
  <cp:revision>1</cp:revision>
  <dcterms:created xsi:type="dcterms:W3CDTF">2025-09-09T18:10:00Z</dcterms:created>
  <dcterms:modified xsi:type="dcterms:W3CDTF">2025-09-09T18:10:00Z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0x0101000B980BFF797C8A43A29EDC5A666CCEBB</vt:lpwstr>
  </property>
</Properties>
</file>