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57EF5" w14:textId="77777777" w:rsidR="00D637D5" w:rsidRDefault="00093092" w:rsidP="009C6C15">
      <w:pPr>
        <w:pStyle w:val="1Header"/>
        <w:spacing w:after="120"/>
        <w:sectPr w:rsidR="00D637D5" w:rsidSect="00FA59F8">
          <w:headerReference w:type="default" r:id="rId7"/>
          <w:type w:val="continuous"/>
          <w:pgSz w:w="12240" w:h="15840"/>
          <w:pgMar w:top="936" w:right="720" w:bottom="1440" w:left="3370" w:header="0" w:footer="720" w:gutter="0"/>
          <w:cols w:space="245"/>
          <w:docGrid w:linePitch="360"/>
        </w:sectPr>
      </w:pPr>
      <w:bookmarkStart w:id="0" w:name="_GoBack"/>
      <w:bookmarkEnd w:id="0"/>
      <w:r>
        <w:rPr>
          <w:noProof/>
        </w:rPr>
        <w:drawing>
          <wp:anchor distT="0" distB="0" distL="114300" distR="114300" simplePos="0" relativeHeight="251658240" behindDoc="0" locked="1" layoutInCell="1" allowOverlap="1" wp14:anchorId="4E017AA2" wp14:editId="29CA7337">
            <wp:simplePos x="0" y="0"/>
            <wp:positionH relativeFrom="margin">
              <wp:posOffset>3175000</wp:posOffset>
            </wp:positionH>
            <wp:positionV relativeFrom="margin">
              <wp:posOffset>8128000</wp:posOffset>
            </wp:positionV>
            <wp:extent cx="1645923" cy="1120142"/>
            <wp:effectExtent l="0" t="0" r="0" b="0"/>
            <wp:wrapNone/>
            <wp:docPr id="100009" name="Picture 10000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02587"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hyperlink r:id="rId9" w:history="1">
        <w:r w:rsidR="005A7BD2">
          <w:t>Consolidated</w:t>
        </w:r>
      </w:hyperlink>
      <w:r w:rsidR="005A7BD2">
        <w:t xml:space="preserve"> Appropriations Act: Employee Benefit Provisions</w:t>
      </w:r>
    </w:p>
    <w:p w14:paraId="61B46F7E" w14:textId="77777777" w:rsidR="00E82549" w:rsidRDefault="00093092" w:rsidP="009C6C15">
      <w:pPr>
        <w:pStyle w:val="Body"/>
        <w:spacing w:after="120"/>
      </w:pPr>
      <w:r>
        <w:t xml:space="preserve">Enacted on Dec. 27, 2020, the </w:t>
      </w:r>
      <w:hyperlink r:id="rId10" w:history="1">
        <w:r w:rsidRPr="005A7BD2">
          <w:rPr>
            <w:rStyle w:val="Hyperlink"/>
          </w:rPr>
          <w:t>Consolidated Appropriations Act, 2021</w:t>
        </w:r>
      </w:hyperlink>
      <w:r>
        <w:t xml:space="preserve"> (CAA) includes a $900 billion coronavirus relief package that provides funding to individuals and businesses</w:t>
      </w:r>
      <w:r>
        <w:t>.</w:t>
      </w:r>
    </w:p>
    <w:p w14:paraId="62262397" w14:textId="77777777" w:rsidR="00D637D5" w:rsidRDefault="00093092" w:rsidP="009C6C15">
      <w:pPr>
        <w:pStyle w:val="Body"/>
        <w:spacing w:after="120"/>
      </w:pPr>
      <w:r>
        <w:t>The CAA also includes benefits and tax provisions affecting employers, group health plan sponsors, health benefits brokers and health insurance issuers. Some provisions are currently effective, while others begin on future dates.</w:t>
      </w:r>
    </w:p>
    <w:p w14:paraId="6C304A7E" w14:textId="77777777" w:rsidR="00137036" w:rsidRDefault="00093092" w:rsidP="009C6C15">
      <w:pPr>
        <w:pStyle w:val="Body"/>
        <w:spacing w:after="120"/>
        <w:rPr>
          <w:noProof/>
        </w:rPr>
      </w:pPr>
      <w:r>
        <w:rPr>
          <w:noProof/>
        </w:rPr>
        <mc:AlternateContent>
          <mc:Choice Requires="wps">
            <w:drawing>
              <wp:anchor distT="0" distB="0" distL="114300" distR="114300" simplePos="0" relativeHeight="251663360" behindDoc="0" locked="0" layoutInCell="1" allowOverlap="1" wp14:anchorId="56B2E111" wp14:editId="27712C15">
                <wp:simplePos x="0" y="0"/>
                <wp:positionH relativeFrom="margin">
                  <wp:posOffset>-1547176</wp:posOffset>
                </wp:positionH>
                <wp:positionV relativeFrom="page">
                  <wp:posOffset>3609316</wp:posOffset>
                </wp:positionV>
                <wp:extent cx="2010487" cy="487045"/>
                <wp:effectExtent l="0" t="318" r="0" b="8572"/>
                <wp:wrapNone/>
                <wp:docPr id="2" name="Text Box 2"/>
                <wp:cNvGraphicFramePr/>
                <a:graphic xmlns:a="http://schemas.openxmlformats.org/drawingml/2006/main">
                  <a:graphicData uri="http://schemas.microsoft.com/office/word/2010/wordprocessingShape">
                    <wps:wsp>
                      <wps:cNvSpPr txBox="1"/>
                      <wps:spPr>
                        <a:xfrm rot="16200000">
                          <a:off x="0" y="0"/>
                          <a:ext cx="2010487" cy="487045"/>
                        </a:xfrm>
                        <a:prstGeom prst="rect">
                          <a:avLst/>
                        </a:prstGeom>
                        <a:noFill/>
                        <a:ln w="6350">
                          <a:noFill/>
                        </a:ln>
                      </wps:spPr>
                      <wps:txbx>
                        <w:txbxContent>
                          <w:p w14:paraId="6D7CEF1A" w14:textId="77777777" w:rsidR="00A1062C" w:rsidRPr="00946960" w:rsidRDefault="00093092" w:rsidP="00A1062C">
                            <w:pPr>
                              <w:pStyle w:val="Header"/>
                              <w:jc w:val="center"/>
                              <w:rPr>
                                <w:b/>
                                <w:color w:val="BA72A7"/>
                                <w:sz w:val="36"/>
                                <w:szCs w:val="36"/>
                              </w:rPr>
                            </w:pPr>
                            <w:hyperlink r:id="rId11" w:history="1">
                              <w:r w:rsidR="005A7BD2" w:rsidRPr="00946960">
                                <w:rPr>
                                  <w:b/>
                                  <w:color w:val="BA72A7"/>
                                  <w:sz w:val="36"/>
                                  <w:szCs w:val="36"/>
                                </w:rPr>
                                <w:t>FEBRUARY</w:t>
                              </w:r>
                            </w:hyperlink>
                            <w:r w:rsidRPr="00946960">
                              <w:rPr>
                                <w:b/>
                                <w:color w:val="BA72A7"/>
                                <w:sz w:val="36"/>
                                <w:szCs w:val="36"/>
                              </w:rPr>
                              <w:t xml:space="preserve"> 202</w:t>
                            </w:r>
                            <w:r w:rsidR="005A7BD2" w:rsidRPr="00946960">
                              <w:rPr>
                                <w:b/>
                                <w:color w:val="BA72A7"/>
                                <w:sz w:val="36"/>
                                <w:szCs w:val="36"/>
                              </w:rPr>
                              <w:t>1</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58.3pt;height:38.35pt;margin-top:284.2pt;margin-left:-121.8pt;mso-height-percent:0;mso-height-relative:margin;mso-position-horizontal-relative:margin;mso-position-vertical-relative:page;mso-width-percent:0;mso-width-relative:margin;mso-wrap-distance-bottom:0;mso-wrap-distance-left:9pt;mso-wrap-distance-right:9pt;mso-wrap-distance-top:0;mso-wrap-style:square;position:absolute;rotation:-90;visibility:visible;v-text-anchor:top;z-index:251664384" filled="f" stroked="f" strokeweight="0.5pt">
                <v:textbox inset="0,,0">
                  <w:txbxContent>
                    <w:p w:rsidR="00A1062C" w:rsidRPr="00946960" w:rsidP="00A1062C">
                      <w:pPr>
                        <w:pStyle w:val="Header"/>
                        <w:jc w:val="center"/>
                        <w:rPr>
                          <w:b/>
                          <w:color w:val="BA72A7"/>
                          <w:sz w:val="36"/>
                          <w:szCs w:val="36"/>
                        </w:rPr>
                      </w:pPr>
                      <w:r>
                        <w:fldChar w:fldCharType="begin"/>
                      </w:r>
                      <w:r>
                        <w:instrText xml:space="preserve"> HYPERLINK "https://www.govinfo.gov/content/pkg/FR-2019-01-24/pdf/2019-00077.pdf" </w:instrText>
                      </w:r>
                      <w:r>
                        <w:fldChar w:fldCharType="separate"/>
                      </w:r>
                      <w:r w:rsidRPr="00946960" w:rsidR="005A7BD2">
                        <w:rPr>
                          <w:b/>
                          <w:color w:val="BA72A7"/>
                          <w:sz w:val="36"/>
                          <w:szCs w:val="36"/>
                        </w:rPr>
                        <w:t>FEBRUARY</w:t>
                      </w:r>
                      <w:r>
                        <w:fldChar w:fldCharType="end"/>
                      </w:r>
                      <w:r w:rsidRPr="00946960">
                        <w:rPr>
                          <w:b/>
                          <w:color w:val="BA72A7"/>
                          <w:sz w:val="36"/>
                          <w:szCs w:val="36"/>
                        </w:rPr>
                        <w:t xml:space="preserve"> 202</w:t>
                      </w:r>
                      <w:r w:rsidRPr="00946960" w:rsidR="005A7BD2">
                        <w:rPr>
                          <w:b/>
                          <w:color w:val="BA72A7"/>
                          <w:sz w:val="36"/>
                          <w:szCs w:val="36"/>
                        </w:rPr>
                        <w:t>1</w:t>
                      </w:r>
                    </w:p>
                  </w:txbxContent>
                </v:textbox>
                <w10:wrap anchorx="margin"/>
              </v:shape>
            </w:pict>
          </mc:Fallback>
        </mc:AlternateContent>
      </w:r>
      <w:r w:rsidR="00E82549" w:rsidRPr="00E82549">
        <w:t xml:space="preserve"> </w:t>
      </w:r>
      <w:r w:rsidR="00E82549" w:rsidRPr="00E82549">
        <w:rPr>
          <w:noProof/>
        </w:rPr>
        <w:t xml:space="preserve">The CAA provisions impacting employers and group health plan sponsors include </w:t>
      </w:r>
      <w:r w:rsidR="00E82549">
        <w:rPr>
          <w:noProof/>
        </w:rPr>
        <w:t>the following</w:t>
      </w:r>
      <w:r w:rsidR="00E82549" w:rsidRPr="00E82549">
        <w:rPr>
          <w:noProof/>
        </w:rPr>
        <w:t>:</w:t>
      </w:r>
    </w:p>
    <w:p w14:paraId="13A6C088" w14:textId="77777777" w:rsidR="00E82549" w:rsidRPr="00E82549" w:rsidRDefault="00093092" w:rsidP="00E82549">
      <w:pPr>
        <w:pStyle w:val="BulletList"/>
        <w:rPr>
          <w:b/>
        </w:rPr>
      </w:pPr>
      <w:r w:rsidRPr="00E82549">
        <w:rPr>
          <w:b/>
        </w:rPr>
        <w:t>Health and dependent care flexible spending accounts (FSAs</w:t>
      </w:r>
      <w:r w:rsidR="009120F1" w:rsidRPr="00E82549">
        <w:rPr>
          <w:b/>
        </w:rPr>
        <w:t>)</w:t>
      </w:r>
      <w:r w:rsidR="009120F1" w:rsidRPr="00713EA5">
        <w:t>—</w:t>
      </w:r>
      <w:r>
        <w:t>For plan years ending in</w:t>
      </w:r>
      <w:r>
        <w:t xml:space="preserve"> 2020 and 2021, the CAA allows employers to extend the grace period to 12 months after the plan year, and</w:t>
      </w:r>
      <w:r w:rsidRPr="00E82549">
        <w:t xml:space="preserve"> </w:t>
      </w:r>
      <w:r>
        <w:t>permit employees to carry over unused amounts to the next plan year.</w:t>
      </w:r>
    </w:p>
    <w:p w14:paraId="7F34E583" w14:textId="77777777" w:rsidR="00E82549" w:rsidRDefault="00093092" w:rsidP="00E82549">
      <w:pPr>
        <w:pStyle w:val="BulletList"/>
      </w:pPr>
      <w:r w:rsidRPr="00E82549">
        <w:rPr>
          <w:b/>
        </w:rPr>
        <w:t>Surprise medical billing</w:t>
      </w:r>
      <w:r w:rsidR="009120F1" w:rsidRPr="009539DD">
        <w:t>—</w:t>
      </w:r>
      <w:r>
        <w:t xml:space="preserve">As part of the CAA, the No Surprises Act will prohibit doctors, hospitals and air ambulances from billing patients who have health coverage for unpaid balances. Rather, providers will have to negotiate with </w:t>
      </w:r>
      <w:r>
        <w:t>plans or issuers to determine the appropriate pay</w:t>
      </w:r>
      <w:r>
        <w:t>ment under the plan.</w:t>
      </w:r>
    </w:p>
    <w:p w14:paraId="2B55D711" w14:textId="77777777" w:rsidR="00E82549" w:rsidRDefault="00093092" w:rsidP="00E82549">
      <w:pPr>
        <w:pStyle w:val="BulletList"/>
      </w:pPr>
      <w:r w:rsidRPr="00E82549">
        <w:rPr>
          <w:b/>
        </w:rPr>
        <w:t>Health care transparency</w:t>
      </w:r>
      <w:r w:rsidR="009120F1" w:rsidRPr="009539DD">
        <w:t>—</w:t>
      </w:r>
      <w:r>
        <w:t xml:space="preserve">The CAA bans gag clauses in contracts between providers and health plans that prevent cost or quality of care information from being available. The CAA also requires brokers and consultants to disclose any </w:t>
      </w:r>
      <w:r w:rsidRPr="00E82549">
        <w:t>comp</w:t>
      </w:r>
      <w:r w:rsidRPr="00E82549">
        <w:t>ensation</w:t>
      </w:r>
      <w:r>
        <w:t xml:space="preserve"> they may receive for referral of services, and requires group health plans to report information on plan medical costs and prescription drug spending.</w:t>
      </w:r>
    </w:p>
    <w:p w14:paraId="1728600D" w14:textId="77777777" w:rsidR="00E82549" w:rsidRDefault="00093092" w:rsidP="00E82549">
      <w:pPr>
        <w:pStyle w:val="BulletList"/>
      </w:pPr>
      <w:r w:rsidRPr="009470C0">
        <w:rPr>
          <w:b/>
        </w:rPr>
        <w:t>Mental health parity</w:t>
      </w:r>
      <w:r w:rsidR="009120F1" w:rsidRPr="009539DD">
        <w:t>—</w:t>
      </w:r>
      <w:r w:rsidR="009470C0" w:rsidRPr="009470C0">
        <w:t xml:space="preserve">The CAA includes provisions that strengthen enforcement of existing mental health parity laws and increase transparency </w:t>
      </w:r>
      <w:r w:rsidR="009470C0">
        <w:t>regarding</w:t>
      </w:r>
      <w:r w:rsidR="009470C0" w:rsidRPr="009470C0">
        <w:t xml:space="preserve"> how health plans are applying these laws.</w:t>
      </w:r>
    </w:p>
    <w:p w14:paraId="02F98108" w14:textId="77777777" w:rsidR="0096300C" w:rsidRDefault="00093092" w:rsidP="00D637D5">
      <w:pPr>
        <w:pStyle w:val="BulletList"/>
      </w:pPr>
      <w:r w:rsidRPr="009470C0">
        <w:rPr>
          <w:b/>
        </w:rPr>
        <w:t>Retirement plans</w:t>
      </w:r>
      <w:r w:rsidR="009120F1" w:rsidRPr="009539DD">
        <w:t>—</w:t>
      </w:r>
      <w:r w:rsidR="009470C0">
        <w:t xml:space="preserve">The CAA modifies the current partial plan termination rules to ensure that termination does not occur if the active participant count as of March 31, 2021, is </w:t>
      </w:r>
      <w:r w:rsidR="009470C0" w:rsidRPr="009470C0">
        <w:t>at least 80%</w:t>
      </w:r>
      <w:r w:rsidR="009470C0">
        <w:t xml:space="preserve"> of the number of active participants covered by the plan on March 13, 2020.</w:t>
      </w:r>
      <w:r w:rsidR="009470C0" w:rsidRPr="009470C0">
        <w:t xml:space="preserve"> </w:t>
      </w:r>
      <w:r w:rsidR="009470C0">
        <w:t>The CAA also provides an exception to the 10% early retirement plan withdrawal penalty for qualified disaster relief distributions.</w:t>
      </w:r>
    </w:p>
    <w:p w14:paraId="38D7CD20" w14:textId="77777777" w:rsidR="009470C0" w:rsidRDefault="009470C0" w:rsidP="009470C0">
      <w:pPr>
        <w:pStyle w:val="Body"/>
        <w:spacing w:after="0"/>
      </w:pPr>
    </w:p>
    <w:p w14:paraId="49E50777" w14:textId="77777777" w:rsidR="00C95AA1" w:rsidRDefault="00C95AA1" w:rsidP="009470C0">
      <w:pPr>
        <w:pStyle w:val="1Header"/>
        <w:spacing w:after="0"/>
        <w:sectPr w:rsidR="00C95AA1" w:rsidSect="00D637D5">
          <w:type w:val="continuous"/>
          <w:pgSz w:w="12240" w:h="15840"/>
          <w:pgMar w:top="432" w:right="720" w:bottom="1440" w:left="3372" w:header="720" w:footer="720" w:gutter="0"/>
          <w:cols w:num="2" w:space="245"/>
          <w:docGrid w:linePitch="360"/>
        </w:sectPr>
      </w:pPr>
    </w:p>
    <w:p w14:paraId="725C2B9B" w14:textId="77777777" w:rsidR="00C95AA1" w:rsidRDefault="00093092" w:rsidP="009C6C15">
      <w:pPr>
        <w:pStyle w:val="1Header"/>
        <w:spacing w:after="120"/>
        <w:sectPr w:rsidR="00C95AA1" w:rsidSect="00C95AA1">
          <w:type w:val="continuous"/>
          <w:pgSz w:w="12240" w:h="15840"/>
          <w:pgMar w:top="432" w:right="720" w:bottom="1440" w:left="3372" w:header="720" w:footer="720" w:gutter="0"/>
          <w:cols w:space="245"/>
          <w:docGrid w:linePitch="360"/>
        </w:sectPr>
      </w:pPr>
      <w:r>
        <w:t>ACA Reporting Deadlines in 2021</w:t>
      </w:r>
    </w:p>
    <w:p w14:paraId="5501CF2B" w14:textId="77777777" w:rsidR="009470C0" w:rsidRDefault="00093092" w:rsidP="009C6C15">
      <w:pPr>
        <w:pStyle w:val="Body"/>
        <w:spacing w:after="120"/>
      </w:pPr>
      <w:r>
        <w:t>Affordable Care Act (ACA) reporting under Section 6055 and Section 6056 for the 2020 calendar year is due in early 2021. Specifically, reporting entities must:</w:t>
      </w:r>
    </w:p>
    <w:p w14:paraId="41759A2F" w14:textId="77777777" w:rsidR="009470C0" w:rsidRDefault="00093092" w:rsidP="009470C0">
      <w:pPr>
        <w:pStyle w:val="BulletList"/>
      </w:pPr>
      <w:r>
        <w:t xml:space="preserve">File returns with the IRS by </w:t>
      </w:r>
      <w:r w:rsidRPr="009470C0">
        <w:rPr>
          <w:b/>
        </w:rPr>
        <w:t>March 1, 2021</w:t>
      </w:r>
      <w:r>
        <w:t xml:space="preserve">, since Feb. 28, 2021, is a Sunday (or </w:t>
      </w:r>
      <w:r w:rsidRPr="009470C0">
        <w:rPr>
          <w:b/>
        </w:rPr>
        <w:t xml:space="preserve">March 31, </w:t>
      </w:r>
      <w:r>
        <w:t>if filing electronically); and</w:t>
      </w:r>
    </w:p>
    <w:p w14:paraId="57A8D6B0" w14:textId="77777777" w:rsidR="009470C0" w:rsidRDefault="00093092" w:rsidP="009470C0">
      <w:pPr>
        <w:pStyle w:val="BulletList"/>
      </w:pPr>
      <w:r>
        <w:t xml:space="preserve">Furnish statements to individuals by </w:t>
      </w:r>
      <w:r w:rsidRPr="009470C0">
        <w:rPr>
          <w:b/>
        </w:rPr>
        <w:t>March 2, 2021</w:t>
      </w:r>
      <w:r>
        <w:t>.</w:t>
      </w:r>
    </w:p>
    <w:p w14:paraId="03410112" w14:textId="77777777" w:rsidR="009C6C15" w:rsidRDefault="00093092" w:rsidP="009C6C15">
      <w:pPr>
        <w:pStyle w:val="Body"/>
        <w:spacing w:after="120"/>
      </w:pPr>
      <w:r>
        <w:t>Originally, individual statements were due by Jan. 31, 2021.</w:t>
      </w:r>
    </w:p>
    <w:p w14:paraId="6FD2CEED" w14:textId="77777777" w:rsidR="00C95AA1" w:rsidRDefault="00093092" w:rsidP="009C6C15">
      <w:pPr>
        <w:pStyle w:val="Body"/>
        <w:spacing w:after="120"/>
      </w:pPr>
      <w:r>
        <w:t xml:space="preserve">However, </w:t>
      </w:r>
      <w:hyperlink r:id="rId12" w:history="1">
        <w:r w:rsidRPr="009470C0">
          <w:rPr>
            <w:rStyle w:val="Hyperlink"/>
          </w:rPr>
          <w:t>IRS Notice 2020-76</w:t>
        </w:r>
      </w:hyperlink>
      <w:r>
        <w:t xml:space="preserve"> extended the furnishing deadline.</w:t>
      </w:r>
    </w:p>
    <w:p w14:paraId="05594D92" w14:textId="77777777" w:rsidR="00C95AA1" w:rsidRPr="00D001DF" w:rsidRDefault="00093092" w:rsidP="009C6C15">
      <w:pPr>
        <w:pStyle w:val="Body"/>
        <w:spacing w:after="120"/>
      </w:pPr>
      <w:r w:rsidRPr="008D08A1">
        <w:rPr>
          <w:noProof/>
        </w:rPr>
        <mc:AlternateContent>
          <mc:Choice Requires="wps">
            <w:drawing>
              <wp:anchor distT="0" distB="0" distL="114300" distR="114300" simplePos="0" relativeHeight="251661312" behindDoc="1" locked="0" layoutInCell="1" allowOverlap="1" wp14:anchorId="3BB4F27A" wp14:editId="27C70BC9">
                <wp:simplePos x="0" y="0"/>
                <wp:positionH relativeFrom="margin">
                  <wp:posOffset>152400</wp:posOffset>
                </wp:positionH>
                <wp:positionV relativeFrom="page">
                  <wp:posOffset>9705878</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748FC41E" w14:textId="77777777" w:rsidR="000A22E5" w:rsidRPr="00C633E7" w:rsidRDefault="00093092" w:rsidP="000A22E5">
                            <w:pPr>
                              <w:jc w:val="center"/>
                              <w:rPr>
                                <w:rFonts w:ascii="Arial" w:hAnsi="Arial" w:cs="Arial"/>
                                <w:color w:val="BFBFBF" w:themeColor="background1" w:themeShade="BF"/>
                                <w:sz w:val="16"/>
                                <w:szCs w:val="16"/>
                              </w:rPr>
                            </w:pPr>
                            <w:r w:rsidRPr="00C633E7">
                              <w:rPr>
                                <w:rFonts w:ascii="Arial" w:hAnsi="Arial" w:cs="Arial"/>
                                <w:color w:val="BFBFBF" w:themeColor="background1" w:themeShade="BF"/>
                                <w:sz w:val="16"/>
                                <w:szCs w:val="16"/>
                              </w:rPr>
                              <w:t>© 20</w:t>
                            </w:r>
                            <w:r w:rsidR="005455C0" w:rsidRPr="00C633E7">
                              <w:rPr>
                                <w:rFonts w:ascii="Arial" w:hAnsi="Arial" w:cs="Arial"/>
                                <w:color w:val="BFBFBF" w:themeColor="background1" w:themeShade="BF"/>
                                <w:sz w:val="16"/>
                                <w:szCs w:val="16"/>
                              </w:rPr>
                              <w:t>2</w:t>
                            </w:r>
                            <w:r w:rsidR="005A7BD2">
                              <w:rPr>
                                <w:rFonts w:ascii="Arial" w:hAnsi="Arial" w:cs="Arial"/>
                                <w:color w:val="BFBFBF" w:themeColor="background1" w:themeShade="BF"/>
                                <w:sz w:val="16"/>
                                <w:szCs w:val="16"/>
                              </w:rPr>
                              <w:t>1</w:t>
                            </w:r>
                            <w:r w:rsidRPr="00C633E7">
                              <w:rPr>
                                <w:rFonts w:ascii="Arial" w:hAnsi="Arial" w:cs="Arial"/>
                                <w:color w:val="BFBFBF" w:themeColor="background1" w:themeShade="BF"/>
                                <w:sz w:val="16"/>
                                <w:szCs w:val="16"/>
                              </w:rPr>
                              <w:t xml:space="preserve"> Zywave, Inc. All rights reserved</w:t>
                            </w:r>
                            <w:r w:rsidR="00EF245D">
                              <w:rPr>
                                <w:rFonts w:ascii="Arial" w:hAnsi="Arial" w:cs="Arial"/>
                                <w:color w:val="BFBFBF" w:themeColor="background1" w:themeShade="BF"/>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26" type="#_x0000_t202" style="width:163.1pt;height:16.55pt;margin-top:764.25pt;margin-left:12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54144" filled="f" stroked="f" strokeweight="0.5pt">
                <v:textbox>
                  <w:txbxContent>
                    <w:p w:rsidR="000A22E5" w:rsidRPr="00C633E7" w:rsidP="000A22E5">
                      <w:pPr>
                        <w:jc w:val="center"/>
                        <w:rPr>
                          <w:rFonts w:ascii="Arial" w:hAnsi="Arial" w:cs="Arial"/>
                          <w:color w:val="BFBFBF" w:themeColor="background1" w:themeShade="BF"/>
                          <w:sz w:val="16"/>
                          <w:szCs w:val="16"/>
                        </w:rPr>
                      </w:pPr>
                      <w:r w:rsidRPr="00C633E7">
                        <w:rPr>
                          <w:rFonts w:ascii="Arial" w:hAnsi="Arial" w:cs="Arial"/>
                          <w:color w:val="BFBFBF" w:themeColor="background1" w:themeShade="BF"/>
                          <w:sz w:val="16"/>
                          <w:szCs w:val="16"/>
                        </w:rPr>
                        <w:t>© 20</w:t>
                      </w:r>
                      <w:r w:rsidRPr="00C633E7" w:rsidR="005455C0">
                        <w:rPr>
                          <w:rFonts w:ascii="Arial" w:hAnsi="Arial" w:cs="Arial"/>
                          <w:color w:val="BFBFBF" w:themeColor="background1" w:themeShade="BF"/>
                          <w:sz w:val="16"/>
                          <w:szCs w:val="16"/>
                        </w:rPr>
                        <w:t>2</w:t>
                      </w:r>
                      <w:r w:rsidR="005A7BD2">
                        <w:rPr>
                          <w:rFonts w:ascii="Arial" w:hAnsi="Arial" w:cs="Arial"/>
                          <w:color w:val="BFBFBF" w:themeColor="background1" w:themeShade="BF"/>
                          <w:sz w:val="16"/>
                          <w:szCs w:val="16"/>
                        </w:rPr>
                        <w:t>1</w:t>
                      </w:r>
                      <w:r w:rsidRPr="00C633E7">
                        <w:rPr>
                          <w:rFonts w:ascii="Arial" w:hAnsi="Arial" w:cs="Arial"/>
                          <w:color w:val="BFBFBF" w:themeColor="background1" w:themeShade="BF"/>
                          <w:sz w:val="16"/>
                          <w:szCs w:val="16"/>
                        </w:rPr>
                        <w:t xml:space="preserve"> Zywave, Inc. All rights reserved</w:t>
                      </w:r>
                      <w:r w:rsidR="00EF245D">
                        <w:rPr>
                          <w:rFonts w:ascii="Arial" w:hAnsi="Arial" w:cs="Arial"/>
                          <w:color w:val="BFBFBF" w:themeColor="background1" w:themeShade="BF"/>
                          <w:sz w:val="16"/>
                          <w:szCs w:val="16"/>
                        </w:rPr>
                        <w:t>.</w:t>
                      </w:r>
                    </w:p>
                  </w:txbxContent>
                </v:textbox>
                <w10:wrap anchorx="margin"/>
              </v:shape>
            </w:pict>
          </mc:Fallback>
        </mc:AlternateContent>
      </w:r>
      <w:r w:rsidRPr="00D001DF">
        <w:rPr>
          <w:noProof/>
        </w:rPr>
        <mc:AlternateContent>
          <mc:Choice Requires="wps">
            <w:drawing>
              <wp:anchor distT="0" distB="0" distL="114300" distR="114300" simplePos="0" relativeHeight="251660288" behindDoc="0" locked="0" layoutInCell="1" allowOverlap="1" wp14:anchorId="1A1BF337" wp14:editId="3D4E4C9D">
                <wp:simplePos x="0" y="0"/>
                <wp:positionH relativeFrom="margin">
                  <wp:align>left</wp:align>
                </wp:positionH>
                <wp:positionV relativeFrom="page">
                  <wp:posOffset>9295814</wp:posOffset>
                </wp:positionV>
                <wp:extent cx="242633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26335" cy="457200"/>
                        </a:xfrm>
                        <a:prstGeom prst="rect">
                          <a:avLst/>
                        </a:prstGeom>
                        <a:noFill/>
                        <a:ln w="6350">
                          <a:noFill/>
                        </a:ln>
                      </wps:spPr>
                      <wps:txbx>
                        <w:txbxContent>
                          <w:p w14:paraId="6D8A41D0" w14:textId="77777777" w:rsidR="00CB25AA" w:rsidRPr="00944569" w:rsidRDefault="00093092" w:rsidP="00F90E5E">
                            <w:pPr>
                              <w:spacing w:after="0" w:line="240" w:lineRule="auto"/>
                              <w:jc w:val="center"/>
                              <w:rPr>
                                <w:rFonts w:asciiTheme="majorHAnsi" w:hAnsiTheme="majorHAnsi" w:cstheme="majorHAnsi"/>
                                <w:color w:val="404040" w:themeColor="text1" w:themeTint="BF"/>
                                <w:sz w:val="20"/>
                                <w:szCs w:val="20"/>
                              </w:rPr>
                            </w:pPr>
                            <w:r w:rsidRPr="00944569">
                              <w:rPr>
                                <w:rFonts w:asciiTheme="majorHAnsi" w:hAnsiTheme="majorHAnsi" w:cstheme="majorHAnsi"/>
                                <w:color w:val="404040" w:themeColor="text1" w:themeTint="BF"/>
                                <w:sz w:val="20"/>
                                <w:szCs w:val="20"/>
                              </w:rPr>
                              <w:t>Provided to You by</w:t>
                            </w:r>
                          </w:p>
                          <w:p w14:paraId="6C0BA938" w14:textId="77777777" w:rsidR="00CB25AA" w:rsidRPr="00944569" w:rsidRDefault="00093092" w:rsidP="00F90E5E">
                            <w:pPr>
                              <w:spacing w:after="0" w:line="240" w:lineRule="auto"/>
                              <w:jc w:val="center"/>
                              <w:rPr>
                                <w:rFonts w:asciiTheme="majorHAnsi" w:hAnsiTheme="majorHAnsi" w:cstheme="majorHAnsi"/>
                                <w:b/>
                                <w:color w:val="404040" w:themeColor="text1" w:themeTint="BF"/>
                                <w:sz w:val="20"/>
                                <w:szCs w:val="20"/>
                              </w:rPr>
                            </w:pPr>
                            <w:r w:rsidRPr="00944569">
                              <w:rPr>
                                <w:rFonts w:asciiTheme="majorHAnsi" w:hAnsiTheme="majorHAnsi" w:cstheme="majorHAnsi"/>
                                <w:b/>
                                <w:color w:val="404040" w:themeColor="text1" w:themeTint="BF"/>
                                <w:sz w:val="20"/>
                                <w:szCs w:val="20"/>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width:191.05pt;height:36pt;margin-top:731.95pt;margin-left:0;mso-height-percent:0;mso-height-relative:margin;mso-position-horizontal:left;mso-position-horizontal-relative:margin;mso-position-vertical-relative:page;mso-width-percent:0;mso-width-relative:margin;mso-wrap-distance-bottom:0;mso-wrap-distance-left:9pt;mso-wrap-distance-right:9pt;mso-wrap-distance-top:0;position:absolute;v-text-anchor:top;z-index:251659264" filled="f" fillcolor="this" stroked="f" strokeweight="0.5pt">
                <v:textbox>
                  <w:txbxContent>
                    <w:p w:rsidR="00CB25AA" w:rsidRPr="00944569" w:rsidP="00F90E5E">
                      <w:pPr>
                        <w:spacing w:after="0" w:line="240" w:lineRule="auto"/>
                        <w:jc w:val="center"/>
                        <w:rPr>
                          <w:rFonts w:asciiTheme="majorHAnsi" w:hAnsiTheme="majorHAnsi" w:cstheme="majorHAnsi"/>
                          <w:color w:val="404040" w:themeColor="text1" w:themeTint="BF"/>
                          <w:sz w:val="20"/>
                          <w:szCs w:val="20"/>
                        </w:rPr>
                      </w:pPr>
                      <w:r w:rsidRPr="00944569">
                        <w:rPr>
                          <w:rFonts w:asciiTheme="majorHAnsi" w:hAnsiTheme="majorHAnsi" w:cstheme="majorHAnsi"/>
                          <w:color w:val="404040" w:themeColor="text1" w:themeTint="BF"/>
                          <w:sz w:val="20"/>
                          <w:szCs w:val="20"/>
                        </w:rPr>
                        <w:t>Provided to You by</w:t>
                      </w:r>
                    </w:p>
                    <w:p w:rsidR="00CB25AA" w:rsidRPr="00944569" w:rsidP="00F90E5E">
                      <w:pPr>
                        <w:spacing w:after="0" w:line="240" w:lineRule="auto"/>
                        <w:jc w:val="center"/>
                        <w:rPr>
                          <w:rFonts w:asciiTheme="majorHAnsi" w:hAnsiTheme="majorHAnsi" w:cstheme="majorHAnsi"/>
                          <w:b/>
                          <w:color w:val="404040" w:themeColor="text1" w:themeTint="BF"/>
                          <w:sz w:val="20"/>
                          <w:szCs w:val="20"/>
                        </w:rPr>
                      </w:pPr>
                      <w:r w:rsidRPr="00944569">
                        <w:rPr>
                          <w:rFonts w:asciiTheme="majorHAnsi" w:hAnsiTheme="majorHAnsi" w:cstheme="majorHAnsi"/>
                          <w:b/>
                          <w:color w:val="404040" w:themeColor="text1" w:themeTint="BF"/>
                          <w:sz w:val="20"/>
                          <w:szCs w:val="20"/>
                        </w:rPr>
                        <w:t>The Richards Group</w:t>
                      </w:r>
                    </w:p>
                  </w:txbxContent>
                </v:textbox>
                <w10:wrap anchorx="margin"/>
              </v:shape>
            </w:pict>
          </mc:Fallback>
        </mc:AlternateContent>
      </w:r>
      <w:r w:rsidR="009470C0" w:rsidRPr="00A74ACD">
        <w:t xml:space="preserve">Notice 2020-76 does not extend the due date for filing forms with the IRS for 2020. </w:t>
      </w:r>
      <w:r w:rsidR="009C6C15">
        <w:t>It</w:t>
      </w:r>
      <w:r w:rsidR="009470C0" w:rsidRPr="00A74ACD">
        <w:t xml:space="preserve"> also provides additional penalty relief related to furnishing forms to individuals under Section 6055</w:t>
      </w:r>
      <w:r w:rsidR="00C95AA1">
        <w:t>.</w:t>
      </w:r>
      <w:r w:rsidR="009470C0">
        <w:t xml:space="preserve"> As a result, employers may only have to furnish Form 1095-B to employees upon request, in certain cases.</w:t>
      </w:r>
    </w:p>
    <w:sectPr w:rsidR="00C95AA1" w:rsidRPr="00D001DF" w:rsidSect="00C95AA1">
      <w:type w:val="continuous"/>
      <w:pgSz w:w="12240" w:h="15840"/>
      <w:pgMar w:top="432" w:right="720" w:bottom="1440" w:left="3372"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35553" w14:textId="77777777" w:rsidR="00000000" w:rsidRDefault="00093092">
      <w:pPr>
        <w:spacing w:after="0" w:line="240" w:lineRule="auto"/>
      </w:pPr>
      <w:r>
        <w:separator/>
      </w:r>
    </w:p>
  </w:endnote>
  <w:endnote w:type="continuationSeparator" w:id="0">
    <w:p w14:paraId="1DD0B811" w14:textId="77777777" w:rsidR="00000000" w:rsidRDefault="0009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DEF62" w14:textId="77777777" w:rsidR="00000000" w:rsidRDefault="00093092">
      <w:pPr>
        <w:spacing w:after="0" w:line="240" w:lineRule="auto"/>
      </w:pPr>
      <w:r>
        <w:separator/>
      </w:r>
    </w:p>
  </w:footnote>
  <w:footnote w:type="continuationSeparator" w:id="0">
    <w:p w14:paraId="206F0495" w14:textId="77777777" w:rsidR="00000000" w:rsidRDefault="00093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D40D8" w14:textId="77777777" w:rsidR="008D0E14" w:rsidRDefault="00093092">
    <w:pPr>
      <w:pStyle w:val="Header"/>
    </w:pPr>
    <w:r>
      <w:rPr>
        <w:noProof/>
      </w:rPr>
      <w:drawing>
        <wp:anchor distT="0" distB="0" distL="114300" distR="114300" simplePos="0" relativeHeight="251658240" behindDoc="1" locked="0" layoutInCell="1" allowOverlap="1" wp14:anchorId="5E3F66A4" wp14:editId="41517832">
          <wp:simplePos x="0" y="0"/>
          <wp:positionH relativeFrom="page">
            <wp:align>center</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378"/>
    <w:multiLevelType w:val="hybridMultilevel"/>
    <w:tmpl w:val="4A6CA8A0"/>
    <w:lvl w:ilvl="0" w:tplc="D2523E7C">
      <w:start w:val="1"/>
      <w:numFmt w:val="bullet"/>
      <w:lvlText w:val=""/>
      <w:lvlJc w:val="left"/>
      <w:pPr>
        <w:ind w:left="720" w:hanging="360"/>
      </w:pPr>
      <w:rPr>
        <w:rFonts w:ascii="Symbol" w:hAnsi="Symbol" w:hint="default"/>
      </w:rPr>
    </w:lvl>
    <w:lvl w:ilvl="1" w:tplc="9632966A" w:tentative="1">
      <w:start w:val="1"/>
      <w:numFmt w:val="bullet"/>
      <w:lvlText w:val="o"/>
      <w:lvlJc w:val="left"/>
      <w:pPr>
        <w:ind w:left="1440" w:hanging="360"/>
      </w:pPr>
      <w:rPr>
        <w:rFonts w:ascii="Courier New" w:hAnsi="Courier New" w:cs="Courier New" w:hint="default"/>
      </w:rPr>
    </w:lvl>
    <w:lvl w:ilvl="2" w:tplc="C792E6A8" w:tentative="1">
      <w:start w:val="1"/>
      <w:numFmt w:val="bullet"/>
      <w:lvlText w:val=""/>
      <w:lvlJc w:val="left"/>
      <w:pPr>
        <w:ind w:left="2160" w:hanging="360"/>
      </w:pPr>
      <w:rPr>
        <w:rFonts w:ascii="Wingdings" w:hAnsi="Wingdings" w:hint="default"/>
      </w:rPr>
    </w:lvl>
    <w:lvl w:ilvl="3" w:tplc="4CBE8250" w:tentative="1">
      <w:start w:val="1"/>
      <w:numFmt w:val="bullet"/>
      <w:lvlText w:val=""/>
      <w:lvlJc w:val="left"/>
      <w:pPr>
        <w:ind w:left="2880" w:hanging="360"/>
      </w:pPr>
      <w:rPr>
        <w:rFonts w:ascii="Symbol" w:hAnsi="Symbol" w:hint="default"/>
      </w:rPr>
    </w:lvl>
    <w:lvl w:ilvl="4" w:tplc="DE60BC6A" w:tentative="1">
      <w:start w:val="1"/>
      <w:numFmt w:val="bullet"/>
      <w:lvlText w:val="o"/>
      <w:lvlJc w:val="left"/>
      <w:pPr>
        <w:ind w:left="3600" w:hanging="360"/>
      </w:pPr>
      <w:rPr>
        <w:rFonts w:ascii="Courier New" w:hAnsi="Courier New" w:cs="Courier New" w:hint="default"/>
      </w:rPr>
    </w:lvl>
    <w:lvl w:ilvl="5" w:tplc="B2B2DB72" w:tentative="1">
      <w:start w:val="1"/>
      <w:numFmt w:val="bullet"/>
      <w:lvlText w:val=""/>
      <w:lvlJc w:val="left"/>
      <w:pPr>
        <w:ind w:left="4320" w:hanging="360"/>
      </w:pPr>
      <w:rPr>
        <w:rFonts w:ascii="Wingdings" w:hAnsi="Wingdings" w:hint="default"/>
      </w:rPr>
    </w:lvl>
    <w:lvl w:ilvl="6" w:tplc="62469542" w:tentative="1">
      <w:start w:val="1"/>
      <w:numFmt w:val="bullet"/>
      <w:lvlText w:val=""/>
      <w:lvlJc w:val="left"/>
      <w:pPr>
        <w:ind w:left="5040" w:hanging="360"/>
      </w:pPr>
      <w:rPr>
        <w:rFonts w:ascii="Symbol" w:hAnsi="Symbol" w:hint="default"/>
      </w:rPr>
    </w:lvl>
    <w:lvl w:ilvl="7" w:tplc="A4DC2B24" w:tentative="1">
      <w:start w:val="1"/>
      <w:numFmt w:val="bullet"/>
      <w:lvlText w:val="o"/>
      <w:lvlJc w:val="left"/>
      <w:pPr>
        <w:ind w:left="5760" w:hanging="360"/>
      </w:pPr>
      <w:rPr>
        <w:rFonts w:ascii="Courier New" w:hAnsi="Courier New" w:cs="Courier New" w:hint="default"/>
      </w:rPr>
    </w:lvl>
    <w:lvl w:ilvl="8" w:tplc="589A87F8" w:tentative="1">
      <w:start w:val="1"/>
      <w:numFmt w:val="bullet"/>
      <w:lvlText w:val=""/>
      <w:lvlJc w:val="left"/>
      <w:pPr>
        <w:ind w:left="6480" w:hanging="360"/>
      </w:pPr>
      <w:rPr>
        <w:rFonts w:ascii="Wingdings" w:hAnsi="Wingdings" w:hint="default"/>
      </w:rPr>
    </w:lvl>
  </w:abstractNum>
  <w:abstractNum w:abstractNumId="1" w15:restartNumberingAfterBreak="0">
    <w:nsid w:val="0E2B33C5"/>
    <w:multiLevelType w:val="hybridMultilevel"/>
    <w:tmpl w:val="A0F2EDE0"/>
    <w:lvl w:ilvl="0" w:tplc="65BC4A76">
      <w:start w:val="1"/>
      <w:numFmt w:val="bullet"/>
      <w:lvlText w:val=""/>
      <w:lvlJc w:val="left"/>
      <w:pPr>
        <w:ind w:left="720" w:hanging="360"/>
      </w:pPr>
      <w:rPr>
        <w:rFonts w:ascii="Symbol" w:hAnsi="Symbol" w:hint="default"/>
      </w:rPr>
    </w:lvl>
    <w:lvl w:ilvl="1" w:tplc="FFE69EB0" w:tentative="1">
      <w:start w:val="1"/>
      <w:numFmt w:val="bullet"/>
      <w:lvlText w:val="o"/>
      <w:lvlJc w:val="left"/>
      <w:pPr>
        <w:ind w:left="1440" w:hanging="360"/>
      </w:pPr>
      <w:rPr>
        <w:rFonts w:ascii="Courier New" w:hAnsi="Courier New" w:cs="Courier New" w:hint="default"/>
      </w:rPr>
    </w:lvl>
    <w:lvl w:ilvl="2" w:tplc="2E42F5D4" w:tentative="1">
      <w:start w:val="1"/>
      <w:numFmt w:val="bullet"/>
      <w:lvlText w:val=""/>
      <w:lvlJc w:val="left"/>
      <w:pPr>
        <w:ind w:left="2160" w:hanging="360"/>
      </w:pPr>
      <w:rPr>
        <w:rFonts w:ascii="Wingdings" w:hAnsi="Wingdings" w:hint="default"/>
      </w:rPr>
    </w:lvl>
    <w:lvl w:ilvl="3" w:tplc="876817B6" w:tentative="1">
      <w:start w:val="1"/>
      <w:numFmt w:val="bullet"/>
      <w:lvlText w:val=""/>
      <w:lvlJc w:val="left"/>
      <w:pPr>
        <w:ind w:left="2880" w:hanging="360"/>
      </w:pPr>
      <w:rPr>
        <w:rFonts w:ascii="Symbol" w:hAnsi="Symbol" w:hint="default"/>
      </w:rPr>
    </w:lvl>
    <w:lvl w:ilvl="4" w:tplc="1B0E59D8" w:tentative="1">
      <w:start w:val="1"/>
      <w:numFmt w:val="bullet"/>
      <w:lvlText w:val="o"/>
      <w:lvlJc w:val="left"/>
      <w:pPr>
        <w:ind w:left="3600" w:hanging="360"/>
      </w:pPr>
      <w:rPr>
        <w:rFonts w:ascii="Courier New" w:hAnsi="Courier New" w:cs="Courier New" w:hint="default"/>
      </w:rPr>
    </w:lvl>
    <w:lvl w:ilvl="5" w:tplc="3C4EEFEA" w:tentative="1">
      <w:start w:val="1"/>
      <w:numFmt w:val="bullet"/>
      <w:lvlText w:val=""/>
      <w:lvlJc w:val="left"/>
      <w:pPr>
        <w:ind w:left="4320" w:hanging="360"/>
      </w:pPr>
      <w:rPr>
        <w:rFonts w:ascii="Wingdings" w:hAnsi="Wingdings" w:hint="default"/>
      </w:rPr>
    </w:lvl>
    <w:lvl w:ilvl="6" w:tplc="7EF28BC2" w:tentative="1">
      <w:start w:val="1"/>
      <w:numFmt w:val="bullet"/>
      <w:lvlText w:val=""/>
      <w:lvlJc w:val="left"/>
      <w:pPr>
        <w:ind w:left="5040" w:hanging="360"/>
      </w:pPr>
      <w:rPr>
        <w:rFonts w:ascii="Symbol" w:hAnsi="Symbol" w:hint="default"/>
      </w:rPr>
    </w:lvl>
    <w:lvl w:ilvl="7" w:tplc="F69AF716" w:tentative="1">
      <w:start w:val="1"/>
      <w:numFmt w:val="bullet"/>
      <w:lvlText w:val="o"/>
      <w:lvlJc w:val="left"/>
      <w:pPr>
        <w:ind w:left="5760" w:hanging="360"/>
      </w:pPr>
      <w:rPr>
        <w:rFonts w:ascii="Courier New" w:hAnsi="Courier New" w:cs="Courier New" w:hint="default"/>
      </w:rPr>
    </w:lvl>
    <w:lvl w:ilvl="8" w:tplc="BF0A8F48" w:tentative="1">
      <w:start w:val="1"/>
      <w:numFmt w:val="bullet"/>
      <w:lvlText w:val=""/>
      <w:lvlJc w:val="left"/>
      <w:pPr>
        <w:ind w:left="6480" w:hanging="360"/>
      </w:pPr>
      <w:rPr>
        <w:rFonts w:ascii="Wingdings" w:hAnsi="Wingdings" w:hint="default"/>
      </w:rPr>
    </w:lvl>
  </w:abstractNum>
  <w:abstractNum w:abstractNumId="2" w15:restartNumberingAfterBreak="0">
    <w:nsid w:val="1C9531B8"/>
    <w:multiLevelType w:val="hybridMultilevel"/>
    <w:tmpl w:val="2FBCC732"/>
    <w:lvl w:ilvl="0" w:tplc="41908550">
      <w:start w:val="1"/>
      <w:numFmt w:val="bullet"/>
      <w:lvlText w:val=""/>
      <w:lvlJc w:val="left"/>
      <w:pPr>
        <w:ind w:left="720" w:hanging="360"/>
      </w:pPr>
      <w:rPr>
        <w:rFonts w:ascii="Symbol" w:hAnsi="Symbol" w:hint="default"/>
      </w:rPr>
    </w:lvl>
    <w:lvl w:ilvl="1" w:tplc="AFCA815A" w:tentative="1">
      <w:start w:val="1"/>
      <w:numFmt w:val="bullet"/>
      <w:lvlText w:val="o"/>
      <w:lvlJc w:val="left"/>
      <w:pPr>
        <w:ind w:left="1440" w:hanging="360"/>
      </w:pPr>
      <w:rPr>
        <w:rFonts w:ascii="Courier New" w:hAnsi="Courier New" w:cs="Courier New" w:hint="default"/>
      </w:rPr>
    </w:lvl>
    <w:lvl w:ilvl="2" w:tplc="D85CF7BC" w:tentative="1">
      <w:start w:val="1"/>
      <w:numFmt w:val="bullet"/>
      <w:lvlText w:val=""/>
      <w:lvlJc w:val="left"/>
      <w:pPr>
        <w:ind w:left="2160" w:hanging="360"/>
      </w:pPr>
      <w:rPr>
        <w:rFonts w:ascii="Wingdings" w:hAnsi="Wingdings" w:hint="default"/>
      </w:rPr>
    </w:lvl>
    <w:lvl w:ilvl="3" w:tplc="81D41516" w:tentative="1">
      <w:start w:val="1"/>
      <w:numFmt w:val="bullet"/>
      <w:lvlText w:val=""/>
      <w:lvlJc w:val="left"/>
      <w:pPr>
        <w:ind w:left="2880" w:hanging="360"/>
      </w:pPr>
      <w:rPr>
        <w:rFonts w:ascii="Symbol" w:hAnsi="Symbol" w:hint="default"/>
      </w:rPr>
    </w:lvl>
    <w:lvl w:ilvl="4" w:tplc="62224A70" w:tentative="1">
      <w:start w:val="1"/>
      <w:numFmt w:val="bullet"/>
      <w:lvlText w:val="o"/>
      <w:lvlJc w:val="left"/>
      <w:pPr>
        <w:ind w:left="3600" w:hanging="360"/>
      </w:pPr>
      <w:rPr>
        <w:rFonts w:ascii="Courier New" w:hAnsi="Courier New" w:cs="Courier New" w:hint="default"/>
      </w:rPr>
    </w:lvl>
    <w:lvl w:ilvl="5" w:tplc="1898D5DC" w:tentative="1">
      <w:start w:val="1"/>
      <w:numFmt w:val="bullet"/>
      <w:lvlText w:val=""/>
      <w:lvlJc w:val="left"/>
      <w:pPr>
        <w:ind w:left="4320" w:hanging="360"/>
      </w:pPr>
      <w:rPr>
        <w:rFonts w:ascii="Wingdings" w:hAnsi="Wingdings" w:hint="default"/>
      </w:rPr>
    </w:lvl>
    <w:lvl w:ilvl="6" w:tplc="ECB683C4" w:tentative="1">
      <w:start w:val="1"/>
      <w:numFmt w:val="bullet"/>
      <w:lvlText w:val=""/>
      <w:lvlJc w:val="left"/>
      <w:pPr>
        <w:ind w:left="5040" w:hanging="360"/>
      </w:pPr>
      <w:rPr>
        <w:rFonts w:ascii="Symbol" w:hAnsi="Symbol" w:hint="default"/>
      </w:rPr>
    </w:lvl>
    <w:lvl w:ilvl="7" w:tplc="5E5C7ADC" w:tentative="1">
      <w:start w:val="1"/>
      <w:numFmt w:val="bullet"/>
      <w:lvlText w:val="o"/>
      <w:lvlJc w:val="left"/>
      <w:pPr>
        <w:ind w:left="5760" w:hanging="360"/>
      </w:pPr>
      <w:rPr>
        <w:rFonts w:ascii="Courier New" w:hAnsi="Courier New" w:cs="Courier New" w:hint="default"/>
      </w:rPr>
    </w:lvl>
    <w:lvl w:ilvl="8" w:tplc="B8E00BCE" w:tentative="1">
      <w:start w:val="1"/>
      <w:numFmt w:val="bullet"/>
      <w:lvlText w:val=""/>
      <w:lvlJc w:val="left"/>
      <w:pPr>
        <w:ind w:left="6480" w:hanging="360"/>
      </w:pPr>
      <w:rPr>
        <w:rFonts w:ascii="Wingdings" w:hAnsi="Wingdings" w:hint="default"/>
      </w:rPr>
    </w:lvl>
  </w:abstractNum>
  <w:abstractNum w:abstractNumId="3" w15:restartNumberingAfterBreak="0">
    <w:nsid w:val="1DC95092"/>
    <w:multiLevelType w:val="hybridMultilevel"/>
    <w:tmpl w:val="8F4CFAF2"/>
    <w:lvl w:ilvl="0" w:tplc="0058B106">
      <w:start w:val="1"/>
      <w:numFmt w:val="bullet"/>
      <w:pStyle w:val="BulletList"/>
      <w:lvlText w:val=""/>
      <w:lvlJc w:val="left"/>
      <w:pPr>
        <w:ind w:left="720" w:hanging="360"/>
      </w:pPr>
      <w:rPr>
        <w:rFonts w:ascii="Symbol" w:hAnsi="Symbol" w:hint="default"/>
      </w:rPr>
    </w:lvl>
    <w:lvl w:ilvl="1" w:tplc="A210E044" w:tentative="1">
      <w:start w:val="1"/>
      <w:numFmt w:val="bullet"/>
      <w:lvlText w:val="o"/>
      <w:lvlJc w:val="left"/>
      <w:pPr>
        <w:ind w:left="1440" w:hanging="360"/>
      </w:pPr>
      <w:rPr>
        <w:rFonts w:ascii="Courier New" w:hAnsi="Courier New" w:cs="Courier New" w:hint="default"/>
      </w:rPr>
    </w:lvl>
    <w:lvl w:ilvl="2" w:tplc="42E6E8A2" w:tentative="1">
      <w:start w:val="1"/>
      <w:numFmt w:val="bullet"/>
      <w:lvlText w:val=""/>
      <w:lvlJc w:val="left"/>
      <w:pPr>
        <w:ind w:left="2160" w:hanging="360"/>
      </w:pPr>
      <w:rPr>
        <w:rFonts w:ascii="Wingdings" w:hAnsi="Wingdings" w:hint="default"/>
      </w:rPr>
    </w:lvl>
    <w:lvl w:ilvl="3" w:tplc="16D2B94A" w:tentative="1">
      <w:start w:val="1"/>
      <w:numFmt w:val="bullet"/>
      <w:lvlText w:val=""/>
      <w:lvlJc w:val="left"/>
      <w:pPr>
        <w:ind w:left="2880" w:hanging="360"/>
      </w:pPr>
      <w:rPr>
        <w:rFonts w:ascii="Symbol" w:hAnsi="Symbol" w:hint="default"/>
      </w:rPr>
    </w:lvl>
    <w:lvl w:ilvl="4" w:tplc="BB00A86E" w:tentative="1">
      <w:start w:val="1"/>
      <w:numFmt w:val="bullet"/>
      <w:lvlText w:val="o"/>
      <w:lvlJc w:val="left"/>
      <w:pPr>
        <w:ind w:left="3600" w:hanging="360"/>
      </w:pPr>
      <w:rPr>
        <w:rFonts w:ascii="Courier New" w:hAnsi="Courier New" w:cs="Courier New" w:hint="default"/>
      </w:rPr>
    </w:lvl>
    <w:lvl w:ilvl="5" w:tplc="04744290" w:tentative="1">
      <w:start w:val="1"/>
      <w:numFmt w:val="bullet"/>
      <w:lvlText w:val=""/>
      <w:lvlJc w:val="left"/>
      <w:pPr>
        <w:ind w:left="4320" w:hanging="360"/>
      </w:pPr>
      <w:rPr>
        <w:rFonts w:ascii="Wingdings" w:hAnsi="Wingdings" w:hint="default"/>
      </w:rPr>
    </w:lvl>
    <w:lvl w:ilvl="6" w:tplc="04BC1558" w:tentative="1">
      <w:start w:val="1"/>
      <w:numFmt w:val="bullet"/>
      <w:lvlText w:val=""/>
      <w:lvlJc w:val="left"/>
      <w:pPr>
        <w:ind w:left="5040" w:hanging="360"/>
      </w:pPr>
      <w:rPr>
        <w:rFonts w:ascii="Symbol" w:hAnsi="Symbol" w:hint="default"/>
      </w:rPr>
    </w:lvl>
    <w:lvl w:ilvl="7" w:tplc="1D7ED1E8" w:tentative="1">
      <w:start w:val="1"/>
      <w:numFmt w:val="bullet"/>
      <w:lvlText w:val="o"/>
      <w:lvlJc w:val="left"/>
      <w:pPr>
        <w:ind w:left="5760" w:hanging="360"/>
      </w:pPr>
      <w:rPr>
        <w:rFonts w:ascii="Courier New" w:hAnsi="Courier New" w:cs="Courier New" w:hint="default"/>
      </w:rPr>
    </w:lvl>
    <w:lvl w:ilvl="8" w:tplc="3392C020" w:tentative="1">
      <w:start w:val="1"/>
      <w:numFmt w:val="bullet"/>
      <w:lvlText w:val=""/>
      <w:lvlJc w:val="left"/>
      <w:pPr>
        <w:ind w:left="6480" w:hanging="360"/>
      </w:pPr>
      <w:rPr>
        <w:rFonts w:ascii="Wingdings" w:hAnsi="Wingdings" w:hint="default"/>
      </w:rPr>
    </w:lvl>
  </w:abstractNum>
  <w:abstractNum w:abstractNumId="4" w15:restartNumberingAfterBreak="0">
    <w:nsid w:val="2D0C5AEA"/>
    <w:multiLevelType w:val="hybridMultilevel"/>
    <w:tmpl w:val="A56810E2"/>
    <w:lvl w:ilvl="0" w:tplc="1956585E">
      <w:start w:val="1"/>
      <w:numFmt w:val="decimal"/>
      <w:pStyle w:val="NumberedList"/>
      <w:lvlText w:val="%1."/>
      <w:lvlJc w:val="left"/>
      <w:pPr>
        <w:ind w:left="810" w:hanging="360"/>
      </w:pPr>
      <w:rPr>
        <w:rFonts w:hint="default"/>
        <w:b/>
        <w:i w:val="0"/>
      </w:rPr>
    </w:lvl>
    <w:lvl w:ilvl="1" w:tplc="816CA0EA" w:tentative="1">
      <w:start w:val="1"/>
      <w:numFmt w:val="lowerLetter"/>
      <w:lvlText w:val="%2."/>
      <w:lvlJc w:val="left"/>
      <w:pPr>
        <w:ind w:left="1530" w:hanging="360"/>
      </w:pPr>
    </w:lvl>
    <w:lvl w:ilvl="2" w:tplc="C28AD3BC" w:tentative="1">
      <w:start w:val="1"/>
      <w:numFmt w:val="lowerRoman"/>
      <w:lvlText w:val="%3."/>
      <w:lvlJc w:val="right"/>
      <w:pPr>
        <w:ind w:left="2250" w:hanging="180"/>
      </w:pPr>
    </w:lvl>
    <w:lvl w:ilvl="3" w:tplc="87B25B40" w:tentative="1">
      <w:start w:val="1"/>
      <w:numFmt w:val="decimal"/>
      <w:lvlText w:val="%4."/>
      <w:lvlJc w:val="left"/>
      <w:pPr>
        <w:ind w:left="2970" w:hanging="360"/>
      </w:pPr>
    </w:lvl>
    <w:lvl w:ilvl="4" w:tplc="FF9C8DE0" w:tentative="1">
      <w:start w:val="1"/>
      <w:numFmt w:val="lowerLetter"/>
      <w:lvlText w:val="%5."/>
      <w:lvlJc w:val="left"/>
      <w:pPr>
        <w:ind w:left="3690" w:hanging="360"/>
      </w:pPr>
    </w:lvl>
    <w:lvl w:ilvl="5" w:tplc="3E280838" w:tentative="1">
      <w:start w:val="1"/>
      <w:numFmt w:val="lowerRoman"/>
      <w:lvlText w:val="%6."/>
      <w:lvlJc w:val="right"/>
      <w:pPr>
        <w:ind w:left="4410" w:hanging="180"/>
      </w:pPr>
    </w:lvl>
    <w:lvl w:ilvl="6" w:tplc="8CC27C84" w:tentative="1">
      <w:start w:val="1"/>
      <w:numFmt w:val="decimal"/>
      <w:lvlText w:val="%7."/>
      <w:lvlJc w:val="left"/>
      <w:pPr>
        <w:ind w:left="5130" w:hanging="360"/>
      </w:pPr>
    </w:lvl>
    <w:lvl w:ilvl="7" w:tplc="5C3286D0" w:tentative="1">
      <w:start w:val="1"/>
      <w:numFmt w:val="lowerLetter"/>
      <w:lvlText w:val="%8."/>
      <w:lvlJc w:val="left"/>
      <w:pPr>
        <w:ind w:left="5850" w:hanging="360"/>
      </w:pPr>
    </w:lvl>
    <w:lvl w:ilvl="8" w:tplc="44B0A0C2" w:tentative="1">
      <w:start w:val="1"/>
      <w:numFmt w:val="lowerRoman"/>
      <w:lvlText w:val="%9."/>
      <w:lvlJc w:val="right"/>
      <w:pPr>
        <w:ind w:left="6570" w:hanging="180"/>
      </w:pPr>
    </w:lvl>
  </w:abstractNum>
  <w:abstractNum w:abstractNumId="5" w15:restartNumberingAfterBreak="0">
    <w:nsid w:val="62CF7BF7"/>
    <w:multiLevelType w:val="hybridMultilevel"/>
    <w:tmpl w:val="3062703C"/>
    <w:lvl w:ilvl="0" w:tplc="F1980586">
      <w:start w:val="1"/>
      <w:numFmt w:val="bullet"/>
      <w:lvlText w:val=""/>
      <w:lvlJc w:val="left"/>
      <w:pPr>
        <w:ind w:left="720" w:hanging="360"/>
      </w:pPr>
      <w:rPr>
        <w:rFonts w:ascii="Symbol" w:hAnsi="Symbol" w:hint="default"/>
      </w:rPr>
    </w:lvl>
    <w:lvl w:ilvl="1" w:tplc="4D80914A" w:tentative="1">
      <w:start w:val="1"/>
      <w:numFmt w:val="bullet"/>
      <w:lvlText w:val="o"/>
      <w:lvlJc w:val="left"/>
      <w:pPr>
        <w:ind w:left="1440" w:hanging="360"/>
      </w:pPr>
      <w:rPr>
        <w:rFonts w:ascii="Courier New" w:hAnsi="Courier New" w:cs="Courier New" w:hint="default"/>
      </w:rPr>
    </w:lvl>
    <w:lvl w:ilvl="2" w:tplc="57420534" w:tentative="1">
      <w:start w:val="1"/>
      <w:numFmt w:val="bullet"/>
      <w:lvlText w:val=""/>
      <w:lvlJc w:val="left"/>
      <w:pPr>
        <w:ind w:left="2160" w:hanging="360"/>
      </w:pPr>
      <w:rPr>
        <w:rFonts w:ascii="Wingdings" w:hAnsi="Wingdings" w:hint="default"/>
      </w:rPr>
    </w:lvl>
    <w:lvl w:ilvl="3" w:tplc="FA703BCE" w:tentative="1">
      <w:start w:val="1"/>
      <w:numFmt w:val="bullet"/>
      <w:lvlText w:val=""/>
      <w:lvlJc w:val="left"/>
      <w:pPr>
        <w:ind w:left="2880" w:hanging="360"/>
      </w:pPr>
      <w:rPr>
        <w:rFonts w:ascii="Symbol" w:hAnsi="Symbol" w:hint="default"/>
      </w:rPr>
    </w:lvl>
    <w:lvl w:ilvl="4" w:tplc="C55A80F6" w:tentative="1">
      <w:start w:val="1"/>
      <w:numFmt w:val="bullet"/>
      <w:lvlText w:val="o"/>
      <w:lvlJc w:val="left"/>
      <w:pPr>
        <w:ind w:left="3600" w:hanging="360"/>
      </w:pPr>
      <w:rPr>
        <w:rFonts w:ascii="Courier New" w:hAnsi="Courier New" w:cs="Courier New" w:hint="default"/>
      </w:rPr>
    </w:lvl>
    <w:lvl w:ilvl="5" w:tplc="DE806928" w:tentative="1">
      <w:start w:val="1"/>
      <w:numFmt w:val="bullet"/>
      <w:lvlText w:val=""/>
      <w:lvlJc w:val="left"/>
      <w:pPr>
        <w:ind w:left="4320" w:hanging="360"/>
      </w:pPr>
      <w:rPr>
        <w:rFonts w:ascii="Wingdings" w:hAnsi="Wingdings" w:hint="default"/>
      </w:rPr>
    </w:lvl>
    <w:lvl w:ilvl="6" w:tplc="BB927E12" w:tentative="1">
      <w:start w:val="1"/>
      <w:numFmt w:val="bullet"/>
      <w:lvlText w:val=""/>
      <w:lvlJc w:val="left"/>
      <w:pPr>
        <w:ind w:left="5040" w:hanging="360"/>
      </w:pPr>
      <w:rPr>
        <w:rFonts w:ascii="Symbol" w:hAnsi="Symbol" w:hint="default"/>
      </w:rPr>
    </w:lvl>
    <w:lvl w:ilvl="7" w:tplc="EEE6734C" w:tentative="1">
      <w:start w:val="1"/>
      <w:numFmt w:val="bullet"/>
      <w:lvlText w:val="o"/>
      <w:lvlJc w:val="left"/>
      <w:pPr>
        <w:ind w:left="5760" w:hanging="360"/>
      </w:pPr>
      <w:rPr>
        <w:rFonts w:ascii="Courier New" w:hAnsi="Courier New" w:cs="Courier New" w:hint="default"/>
      </w:rPr>
    </w:lvl>
    <w:lvl w:ilvl="8" w:tplc="C15A1DDC" w:tentative="1">
      <w:start w:val="1"/>
      <w:numFmt w:val="bullet"/>
      <w:lvlText w:val=""/>
      <w:lvlJc w:val="left"/>
      <w:pPr>
        <w:ind w:left="6480" w:hanging="360"/>
      </w:pPr>
      <w:rPr>
        <w:rFonts w:ascii="Wingdings" w:hAnsi="Wingdings" w:hint="default"/>
      </w:rPr>
    </w:lvl>
  </w:abstractNum>
  <w:abstractNum w:abstractNumId="6" w15:restartNumberingAfterBreak="0">
    <w:nsid w:val="695D6A28"/>
    <w:multiLevelType w:val="hybridMultilevel"/>
    <w:tmpl w:val="F22E57F0"/>
    <w:lvl w:ilvl="0" w:tplc="BDC6D3B8">
      <w:start w:val="1"/>
      <w:numFmt w:val="bullet"/>
      <w:pStyle w:val="BulletedList"/>
      <w:lvlText w:val=""/>
      <w:lvlJc w:val="left"/>
      <w:pPr>
        <w:ind w:left="720" w:hanging="360"/>
      </w:pPr>
      <w:rPr>
        <w:rFonts w:ascii="Wingdings" w:hAnsi="Wingdings" w:hint="default"/>
      </w:rPr>
    </w:lvl>
    <w:lvl w:ilvl="1" w:tplc="E6C8021E" w:tentative="1">
      <w:start w:val="1"/>
      <w:numFmt w:val="bullet"/>
      <w:lvlText w:val="o"/>
      <w:lvlJc w:val="left"/>
      <w:pPr>
        <w:ind w:left="1440" w:hanging="360"/>
      </w:pPr>
      <w:rPr>
        <w:rFonts w:ascii="Courier New" w:hAnsi="Courier New" w:cs="Courier New" w:hint="default"/>
      </w:rPr>
    </w:lvl>
    <w:lvl w:ilvl="2" w:tplc="A3C2EC18" w:tentative="1">
      <w:start w:val="1"/>
      <w:numFmt w:val="bullet"/>
      <w:lvlText w:val=""/>
      <w:lvlJc w:val="left"/>
      <w:pPr>
        <w:ind w:left="2160" w:hanging="360"/>
      </w:pPr>
      <w:rPr>
        <w:rFonts w:ascii="Wingdings" w:hAnsi="Wingdings" w:hint="default"/>
      </w:rPr>
    </w:lvl>
    <w:lvl w:ilvl="3" w:tplc="D97A9B66" w:tentative="1">
      <w:start w:val="1"/>
      <w:numFmt w:val="bullet"/>
      <w:lvlText w:val=""/>
      <w:lvlJc w:val="left"/>
      <w:pPr>
        <w:ind w:left="2880" w:hanging="360"/>
      </w:pPr>
      <w:rPr>
        <w:rFonts w:ascii="Symbol" w:hAnsi="Symbol" w:hint="default"/>
      </w:rPr>
    </w:lvl>
    <w:lvl w:ilvl="4" w:tplc="0B68FC02" w:tentative="1">
      <w:start w:val="1"/>
      <w:numFmt w:val="bullet"/>
      <w:lvlText w:val="o"/>
      <w:lvlJc w:val="left"/>
      <w:pPr>
        <w:ind w:left="3600" w:hanging="360"/>
      </w:pPr>
      <w:rPr>
        <w:rFonts w:ascii="Courier New" w:hAnsi="Courier New" w:cs="Courier New" w:hint="default"/>
      </w:rPr>
    </w:lvl>
    <w:lvl w:ilvl="5" w:tplc="6B3AF440" w:tentative="1">
      <w:start w:val="1"/>
      <w:numFmt w:val="bullet"/>
      <w:lvlText w:val=""/>
      <w:lvlJc w:val="left"/>
      <w:pPr>
        <w:ind w:left="4320" w:hanging="360"/>
      </w:pPr>
      <w:rPr>
        <w:rFonts w:ascii="Wingdings" w:hAnsi="Wingdings" w:hint="default"/>
      </w:rPr>
    </w:lvl>
    <w:lvl w:ilvl="6" w:tplc="E2E2725C" w:tentative="1">
      <w:start w:val="1"/>
      <w:numFmt w:val="bullet"/>
      <w:lvlText w:val=""/>
      <w:lvlJc w:val="left"/>
      <w:pPr>
        <w:ind w:left="5040" w:hanging="360"/>
      </w:pPr>
      <w:rPr>
        <w:rFonts w:ascii="Symbol" w:hAnsi="Symbol" w:hint="default"/>
      </w:rPr>
    </w:lvl>
    <w:lvl w:ilvl="7" w:tplc="CC881772" w:tentative="1">
      <w:start w:val="1"/>
      <w:numFmt w:val="bullet"/>
      <w:lvlText w:val="o"/>
      <w:lvlJc w:val="left"/>
      <w:pPr>
        <w:ind w:left="5760" w:hanging="360"/>
      </w:pPr>
      <w:rPr>
        <w:rFonts w:ascii="Courier New" w:hAnsi="Courier New" w:cs="Courier New" w:hint="default"/>
      </w:rPr>
    </w:lvl>
    <w:lvl w:ilvl="8" w:tplc="E5E088BA"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MTIyNzezNDczMDVT0lEKTi0uzszPAykwrAUAYV4YyCwAAAA="/>
  </w:docVars>
  <w:rsids>
    <w:rsidRoot w:val="005A7BD2"/>
    <w:rsid w:val="00093092"/>
    <w:rsid w:val="00096676"/>
    <w:rsid w:val="000A1A7C"/>
    <w:rsid w:val="000A22E5"/>
    <w:rsid w:val="000F08E0"/>
    <w:rsid w:val="000F498F"/>
    <w:rsid w:val="001213A0"/>
    <w:rsid w:val="00137036"/>
    <w:rsid w:val="00185FD8"/>
    <w:rsid w:val="001932BA"/>
    <w:rsid w:val="001A6F73"/>
    <w:rsid w:val="001F619A"/>
    <w:rsid w:val="0020115E"/>
    <w:rsid w:val="002A5EBE"/>
    <w:rsid w:val="002B67A3"/>
    <w:rsid w:val="002B6B23"/>
    <w:rsid w:val="002F38B6"/>
    <w:rsid w:val="003544B1"/>
    <w:rsid w:val="00391CD4"/>
    <w:rsid w:val="004431DE"/>
    <w:rsid w:val="00450F07"/>
    <w:rsid w:val="0045285D"/>
    <w:rsid w:val="004B0128"/>
    <w:rsid w:val="0051484C"/>
    <w:rsid w:val="0053575D"/>
    <w:rsid w:val="005455C0"/>
    <w:rsid w:val="005A7BD2"/>
    <w:rsid w:val="005D59F3"/>
    <w:rsid w:val="00607E4B"/>
    <w:rsid w:val="0064631E"/>
    <w:rsid w:val="006B7630"/>
    <w:rsid w:val="00713EA5"/>
    <w:rsid w:val="00736302"/>
    <w:rsid w:val="00792C11"/>
    <w:rsid w:val="00792F89"/>
    <w:rsid w:val="007C66EC"/>
    <w:rsid w:val="008201F3"/>
    <w:rsid w:val="008265F1"/>
    <w:rsid w:val="00841C46"/>
    <w:rsid w:val="008A0B9A"/>
    <w:rsid w:val="008A740E"/>
    <w:rsid w:val="008B636A"/>
    <w:rsid w:val="008D0E14"/>
    <w:rsid w:val="008F5DE8"/>
    <w:rsid w:val="009120F1"/>
    <w:rsid w:val="00944569"/>
    <w:rsid w:val="00946960"/>
    <w:rsid w:val="009470C0"/>
    <w:rsid w:val="00951DDB"/>
    <w:rsid w:val="009539DD"/>
    <w:rsid w:val="0096300C"/>
    <w:rsid w:val="00970778"/>
    <w:rsid w:val="00974F0E"/>
    <w:rsid w:val="00986B93"/>
    <w:rsid w:val="009C336C"/>
    <w:rsid w:val="009C6C15"/>
    <w:rsid w:val="00A1062C"/>
    <w:rsid w:val="00A16E52"/>
    <w:rsid w:val="00A30C21"/>
    <w:rsid w:val="00A31CBE"/>
    <w:rsid w:val="00A3376C"/>
    <w:rsid w:val="00A57169"/>
    <w:rsid w:val="00A62634"/>
    <w:rsid w:val="00A74ACD"/>
    <w:rsid w:val="00AD027A"/>
    <w:rsid w:val="00B129E0"/>
    <w:rsid w:val="00B2035A"/>
    <w:rsid w:val="00B27928"/>
    <w:rsid w:val="00B36F37"/>
    <w:rsid w:val="00B85464"/>
    <w:rsid w:val="00BB5DB5"/>
    <w:rsid w:val="00BC1289"/>
    <w:rsid w:val="00C028FB"/>
    <w:rsid w:val="00C633E7"/>
    <w:rsid w:val="00C92443"/>
    <w:rsid w:val="00C95AA1"/>
    <w:rsid w:val="00CA7A2E"/>
    <w:rsid w:val="00CB25AA"/>
    <w:rsid w:val="00CC5EF1"/>
    <w:rsid w:val="00D001DF"/>
    <w:rsid w:val="00D47248"/>
    <w:rsid w:val="00D47D52"/>
    <w:rsid w:val="00D56A8B"/>
    <w:rsid w:val="00D6020C"/>
    <w:rsid w:val="00D637D5"/>
    <w:rsid w:val="00DC2EC9"/>
    <w:rsid w:val="00E17698"/>
    <w:rsid w:val="00E17D84"/>
    <w:rsid w:val="00E63837"/>
    <w:rsid w:val="00E82549"/>
    <w:rsid w:val="00ED6866"/>
    <w:rsid w:val="00EF245D"/>
    <w:rsid w:val="00EF6598"/>
    <w:rsid w:val="00F02840"/>
    <w:rsid w:val="00F505DA"/>
    <w:rsid w:val="00F90E5E"/>
    <w:rsid w:val="00FA59F8"/>
    <w:rsid w:val="00FE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6EEA9"/>
  <w15:chartTrackingRefBased/>
  <w15:docId w15:val="{27A386A1-8826-4596-AE31-2DD47E7A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D"/>
  </w:style>
  <w:style w:type="paragraph" w:styleId="Footer">
    <w:name w:val="footer"/>
    <w:basedOn w:val="Normal"/>
    <w:link w:val="FooterChar"/>
    <w:uiPriority w:val="99"/>
    <w:unhideWhenUsed/>
    <w:rsid w:val="00FE5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D"/>
  </w:style>
  <w:style w:type="paragraph" w:customStyle="1" w:styleId="ArticleHeader">
    <w:name w:val="Article Header"/>
    <w:basedOn w:val="Normal"/>
    <w:link w:val="ArticleHeaderChar"/>
    <w:rsid w:val="000A1A7C"/>
    <w:pPr>
      <w:spacing w:after="0" w:line="240" w:lineRule="auto"/>
    </w:pPr>
    <w:rPr>
      <w:rFonts w:ascii="Arial" w:hAnsi="Arial" w:cs="Arial"/>
      <w:b/>
      <w:sz w:val="32"/>
      <w:szCs w:val="32"/>
    </w:rPr>
  </w:style>
  <w:style w:type="paragraph" w:customStyle="1" w:styleId="Subheader">
    <w:name w:val="Subheader"/>
    <w:basedOn w:val="Normal"/>
    <w:link w:val="SubheaderChar"/>
    <w:rsid w:val="000A1A7C"/>
    <w:pPr>
      <w:spacing w:after="0" w:line="240" w:lineRule="auto"/>
    </w:pPr>
    <w:rPr>
      <w:rFonts w:ascii="Arial" w:hAnsi="Arial" w:cs="Arial"/>
      <w:b/>
      <w:sz w:val="26"/>
      <w:szCs w:val="26"/>
    </w:rPr>
  </w:style>
  <w:style w:type="character" w:customStyle="1" w:styleId="ArticleHeaderChar">
    <w:name w:val="Article Header Char"/>
    <w:basedOn w:val="DefaultParagraphFont"/>
    <w:link w:val="ArticleHeader"/>
    <w:rsid w:val="000A1A7C"/>
    <w:rPr>
      <w:rFonts w:ascii="Arial" w:hAnsi="Arial" w:cs="Arial"/>
      <w:b/>
      <w:sz w:val="32"/>
      <w:szCs w:val="32"/>
    </w:rPr>
  </w:style>
  <w:style w:type="paragraph" w:customStyle="1" w:styleId="BulletedList">
    <w:name w:val="Bulleted List"/>
    <w:basedOn w:val="Normal"/>
    <w:link w:val="BulletedListChar"/>
    <w:rsid w:val="000A1A7C"/>
    <w:pPr>
      <w:numPr>
        <w:numId w:val="1"/>
      </w:numPr>
      <w:spacing w:after="0" w:line="240" w:lineRule="auto"/>
    </w:pPr>
    <w:rPr>
      <w:rFonts w:ascii="Arial" w:hAnsi="Arial" w:cs="Arial"/>
    </w:rPr>
  </w:style>
  <w:style w:type="character" w:customStyle="1" w:styleId="SubheaderChar">
    <w:name w:val="Subheader Char"/>
    <w:basedOn w:val="DefaultParagraphFont"/>
    <w:link w:val="Subheader"/>
    <w:rsid w:val="000A1A7C"/>
    <w:rPr>
      <w:rFonts w:ascii="Arial" w:hAnsi="Arial" w:cs="Arial"/>
      <w:b/>
      <w:sz w:val="26"/>
      <w:szCs w:val="26"/>
    </w:rPr>
  </w:style>
  <w:style w:type="paragraph" w:customStyle="1" w:styleId="NumberedList">
    <w:name w:val="Numbered List"/>
    <w:basedOn w:val="BulletedList"/>
    <w:link w:val="NumberedListChar"/>
    <w:rsid w:val="00841C46"/>
    <w:pPr>
      <w:numPr>
        <w:numId w:val="2"/>
      </w:numPr>
      <w:ind w:left="270" w:hanging="270"/>
    </w:pPr>
  </w:style>
  <w:style w:type="character" w:customStyle="1" w:styleId="BulletedListChar">
    <w:name w:val="Bulleted List Char"/>
    <w:basedOn w:val="DefaultParagraphFont"/>
    <w:link w:val="BulletedList"/>
    <w:rsid w:val="000A1A7C"/>
    <w:rPr>
      <w:rFonts w:ascii="Arial" w:hAnsi="Arial" w:cs="Arial"/>
    </w:rPr>
  </w:style>
  <w:style w:type="character" w:customStyle="1" w:styleId="NumberedListChar">
    <w:name w:val="Numbered List Char"/>
    <w:basedOn w:val="BulletedListChar"/>
    <w:link w:val="NumberedList"/>
    <w:rsid w:val="00841C46"/>
    <w:rPr>
      <w:rFonts w:ascii="Arial" w:hAnsi="Arial" w:cs="Arial"/>
    </w:rPr>
  </w:style>
  <w:style w:type="character" w:styleId="Hyperlink">
    <w:name w:val="Hyperlink"/>
    <w:basedOn w:val="DefaultParagraphFont"/>
    <w:uiPriority w:val="99"/>
    <w:unhideWhenUsed/>
    <w:rsid w:val="002B67A3"/>
    <w:rPr>
      <w:color w:val="0563C1" w:themeColor="hyperlink"/>
      <w:u w:val="single"/>
    </w:rPr>
  </w:style>
  <w:style w:type="paragraph" w:styleId="ListParagraph">
    <w:name w:val="List Paragraph"/>
    <w:basedOn w:val="Normal"/>
    <w:uiPriority w:val="34"/>
    <w:rsid w:val="002B67A3"/>
    <w:pPr>
      <w:spacing w:line="240" w:lineRule="auto"/>
      <w:ind w:left="720"/>
      <w:contextualSpacing/>
    </w:pPr>
    <w:rPr>
      <w:rFonts w:ascii="Arial" w:hAnsi="Arial" w:cs="Arial"/>
      <w:sz w:val="20"/>
    </w:rPr>
  </w:style>
  <w:style w:type="paragraph" w:customStyle="1" w:styleId="1Header">
    <w:name w:val="1 Header"/>
    <w:basedOn w:val="ArticleHeader"/>
    <w:link w:val="1HeaderChar"/>
    <w:qFormat/>
    <w:rsid w:val="000F498F"/>
    <w:pPr>
      <w:spacing w:after="160" w:line="192" w:lineRule="auto"/>
    </w:pPr>
    <w:rPr>
      <w:rFonts w:asciiTheme="minorHAnsi" w:hAnsiTheme="minorHAnsi" w:cstheme="minorHAnsi"/>
      <w:sz w:val="36"/>
    </w:rPr>
  </w:style>
  <w:style w:type="paragraph" w:customStyle="1" w:styleId="Body">
    <w:name w:val="Body"/>
    <w:basedOn w:val="Normal"/>
    <w:link w:val="BodyChar"/>
    <w:qFormat/>
    <w:rsid w:val="0053575D"/>
    <w:rPr>
      <w:rFonts w:cstheme="minorHAnsi"/>
    </w:rPr>
  </w:style>
  <w:style w:type="character" w:customStyle="1" w:styleId="1HeaderChar">
    <w:name w:val="1 Header Char"/>
    <w:basedOn w:val="ArticleHeaderChar"/>
    <w:link w:val="1Header"/>
    <w:rsid w:val="000F498F"/>
    <w:rPr>
      <w:rFonts w:ascii="Arial" w:hAnsi="Arial" w:cstheme="minorHAnsi"/>
      <w:b/>
      <w:sz w:val="36"/>
      <w:szCs w:val="32"/>
    </w:rPr>
  </w:style>
  <w:style w:type="paragraph" w:customStyle="1" w:styleId="BulletList">
    <w:name w:val="Bullet List"/>
    <w:basedOn w:val="Body"/>
    <w:link w:val="BulletListChar"/>
    <w:qFormat/>
    <w:rsid w:val="00185FD8"/>
    <w:pPr>
      <w:numPr>
        <w:numId w:val="6"/>
      </w:numPr>
      <w:spacing w:after="60"/>
      <w:ind w:left="273" w:hanging="187"/>
    </w:pPr>
  </w:style>
  <w:style w:type="character" w:customStyle="1" w:styleId="BodyChar">
    <w:name w:val="Body Char"/>
    <w:basedOn w:val="DefaultParagraphFont"/>
    <w:link w:val="Body"/>
    <w:rsid w:val="0053575D"/>
    <w:rPr>
      <w:rFonts w:cstheme="minorHAnsi"/>
    </w:rPr>
  </w:style>
  <w:style w:type="character" w:customStyle="1" w:styleId="BulletListChar">
    <w:name w:val="Bullet List Char"/>
    <w:basedOn w:val="BodyChar"/>
    <w:link w:val="BulletList"/>
    <w:rsid w:val="00185FD8"/>
    <w:rPr>
      <w:rFonts w:cstheme="minorHAnsi"/>
    </w:rPr>
  </w:style>
  <w:style w:type="paragraph" w:customStyle="1" w:styleId="2Header">
    <w:name w:val="2 Header"/>
    <w:basedOn w:val="Normal"/>
    <w:link w:val="2HeaderChar"/>
    <w:qFormat/>
    <w:rsid w:val="00C95AA1"/>
    <w:pPr>
      <w:spacing w:after="0"/>
    </w:pPr>
    <w:rPr>
      <w:rFonts w:cstheme="minorHAnsi"/>
      <w:b/>
    </w:rPr>
  </w:style>
  <w:style w:type="character" w:customStyle="1" w:styleId="2HeaderChar">
    <w:name w:val="2 Header Char"/>
    <w:basedOn w:val="DefaultParagraphFont"/>
    <w:link w:val="2Header"/>
    <w:rsid w:val="00C95AA1"/>
    <w:rPr>
      <w:rFonts w:cstheme="minorHAnsi"/>
      <w:b/>
    </w:rPr>
  </w:style>
  <w:style w:type="character" w:customStyle="1" w:styleId="UnresolvedMention1">
    <w:name w:val="Unresolved Mention1"/>
    <w:basedOn w:val="DefaultParagraphFont"/>
    <w:uiPriority w:val="99"/>
    <w:semiHidden/>
    <w:unhideWhenUsed/>
    <w:rsid w:val="005A7BD2"/>
    <w:rPr>
      <w:color w:val="605E5C"/>
      <w:shd w:val="clear" w:color="auto" w:fill="E1DFDD"/>
    </w:rPr>
  </w:style>
  <w:style w:type="character" w:styleId="FollowedHyperlink">
    <w:name w:val="FollowedHyperlink"/>
    <w:basedOn w:val="DefaultParagraphFont"/>
    <w:uiPriority w:val="99"/>
    <w:semiHidden/>
    <w:unhideWhenUsed/>
    <w:rsid w:val="009120F1"/>
    <w:rPr>
      <w:color w:val="954F72" w:themeColor="followedHyperlink"/>
      <w:u w:val="single"/>
    </w:rPr>
  </w:style>
  <w:style w:type="paragraph" w:styleId="BalloonText">
    <w:name w:val="Balloon Text"/>
    <w:basedOn w:val="Normal"/>
    <w:link w:val="BalloonTextChar"/>
    <w:uiPriority w:val="99"/>
    <w:semiHidden/>
    <w:unhideWhenUsed/>
    <w:rsid w:val="00912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0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irs.gov/pub/irs-drop/n-20-76.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info.gov/content/pkg/FR-2019-01-24/pdf/2019-00077.pdf" TargetMode="External"/><Relationship Id="rId5" Type="http://schemas.openxmlformats.org/officeDocument/2006/relationships/footnotes" Target="footnotes.xml"/><Relationship Id="rId10" Type="http://schemas.openxmlformats.org/officeDocument/2006/relationships/hyperlink" Target="https://rules.house.gov/sites/democrats.rules.house.gov/files/BILLS-116HR133SA-RCP-116-68.pdf" TargetMode="External"/><Relationship Id="rId4" Type="http://schemas.openxmlformats.org/officeDocument/2006/relationships/webSettings" Target="webSettings.xml"/><Relationship Id="rId9" Type="http://schemas.openxmlformats.org/officeDocument/2006/relationships/hyperlink" Target="https://www.govinfo.gov/content/pkg/FR-2019-01-24/pdf/2019-00077.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Legal%20Content\Benefits%20Buzz\TEMPLATE%20-%20Benefits%20Buzz.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 Benefits Buzz</Template>
  <TotalTime>0</TotalTime>
  <Pages>1</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Rollefson, Becca</dc:creator>
  <cp:lastModifiedBy>Jacobs, Jessica</cp:lastModifiedBy>
  <cp:revision>2</cp:revision>
  <cp:lastPrinted>2020-10-07T17:13:00Z</cp:lastPrinted>
  <dcterms:created xsi:type="dcterms:W3CDTF">2021-02-05T12:24:00Z</dcterms:created>
  <dcterms:modified xsi:type="dcterms:W3CDTF">2021-02-05T12:24:00Z</dcterms:modified>
</cp:coreProperties>
</file>