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00C" w:rsidRPr="00D001DF" w:rsidRDefault="00820BA8" w:rsidP="009C336C">
      <w:pPr>
        <w:pStyle w:val="Body"/>
      </w:pPr>
      <w:bookmarkStart w:id="0" w:name="_GoBack"/>
      <w:bookmarkEnd w:id="0"/>
      <w:r w:rsidRPr="00D001DF">
        <w:rPr>
          <w:noProof/>
        </w:rPr>
        <w:drawing>
          <wp:anchor distT="0" distB="0" distL="114300" distR="114300" simplePos="0" relativeHeight="251658240" behindDoc="0" locked="1" layoutInCell="1" allowOverlap="1">
            <wp:simplePos x="0" y="0"/>
            <wp:positionH relativeFrom="margin">
              <wp:posOffset>2730500</wp:posOffset>
            </wp:positionH>
            <wp:positionV relativeFrom="margin">
              <wp:posOffset>7937500</wp:posOffset>
            </wp:positionV>
            <wp:extent cx="1645923" cy="1120142"/>
            <wp:effectExtent l="0" t="0" r="0" b="0"/>
            <wp:wrapNone/>
            <wp:docPr id="100021" name="Picture 10002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05620"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Pr="00D001DF">
        <w:rPr>
          <w:noProof/>
        </w:rPr>
        <mc:AlternateContent>
          <mc:Choice Requires="wps">
            <w:drawing>
              <wp:anchor distT="0" distB="0" distL="114300" distR="114300" simplePos="0" relativeHeight="251660288" behindDoc="0" locked="0" layoutInCell="1" allowOverlap="1">
                <wp:simplePos x="0" y="0"/>
                <wp:positionH relativeFrom="margin">
                  <wp:posOffset>-23058</wp:posOffset>
                </wp:positionH>
                <wp:positionV relativeFrom="page">
                  <wp:posOffset>9148700</wp:posOffset>
                </wp:positionV>
                <wp:extent cx="2329815" cy="7359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329815" cy="735965"/>
                        </a:xfrm>
                        <a:prstGeom prst="rect">
                          <a:avLst/>
                        </a:prstGeom>
                        <a:noFill/>
                        <a:ln w="6350">
                          <a:noFill/>
                        </a:ln>
                      </wps:spPr>
                      <wps:txbx>
                        <w:txbxContent>
                          <w:p w:rsidR="00CB25AA" w:rsidRPr="00C13860" w:rsidRDefault="00820BA8"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820BA8" w:rsidP="00F90E5E">
                            <w:pPr>
                              <w:spacing w:after="0" w:line="240" w:lineRule="auto"/>
                              <w:jc w:val="center"/>
                              <w:rPr>
                                <w:rFonts w:cstheme="minorHAnsi"/>
                                <w:sz w:val="20"/>
                                <w:szCs w:val="20"/>
                              </w:rPr>
                            </w:pPr>
                            <w:r>
                              <w:rPr>
                                <w:rFonts w:cstheme="minorHAnsi"/>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8pt;margin-top:720.35pt;width:183.45pt;height:5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" filled="f" stroked="f" strokeweight=".5pt">
                <v:textbox>
                  <w:txbxContent>
                    <w:p w:rsidR="00CB25AA" w:rsidRPr="00C13860" w:rsidRDefault="00820BA8"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820BA8" w:rsidP="00F90E5E">
                      <w:pPr>
                        <w:spacing w:after="0" w:line="240" w:lineRule="auto"/>
                        <w:jc w:val="center"/>
                        <w:rPr>
                          <w:rFonts w:cstheme="minorHAnsi"/>
                          <w:sz w:val="20"/>
                          <w:szCs w:val="20"/>
                        </w:rPr>
                      </w:pPr>
                      <w:r>
                        <w:rPr>
                          <w:rFonts w:cstheme="minorHAnsi"/>
                          <w:sz w:val="20"/>
                          <w:szCs w:val="20"/>
                        </w:rPr>
                        <w:t>The Richards Group</w:t>
                      </w:r>
                    </w:p>
                  </w:txbxContent>
                </v:textbox>
                <w10:wrap anchorx="margin" anchory="page"/>
              </v:shape>
            </w:pict>
          </mc:Fallback>
        </mc:AlternateContent>
      </w:r>
      <w:r w:rsidR="00CA7891">
        <w:rPr>
          <w:noProof/>
        </w:rPr>
        <mc:AlternateContent>
          <mc:Choice Requires="wps">
            <w:drawing>
              <wp:anchor distT="0" distB="0" distL="114300" distR="114300" simplePos="0" relativeHeight="251669504" behindDoc="0" locked="0" layoutInCell="1" allowOverlap="1">
                <wp:simplePos x="0" y="0"/>
                <wp:positionH relativeFrom="margin">
                  <wp:posOffset>-1905</wp:posOffset>
                </wp:positionH>
                <wp:positionV relativeFrom="paragraph">
                  <wp:posOffset>3401060</wp:posOffset>
                </wp:positionV>
                <wp:extent cx="2209800" cy="47720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09800" cy="4772025"/>
                        </a:xfrm>
                        <a:prstGeom prst="rect">
                          <a:avLst/>
                        </a:prstGeom>
                        <a:noFill/>
                        <a:ln w="6350">
                          <a:noFill/>
                        </a:ln>
                      </wps:spPr>
                      <wps:txbx>
                        <w:txbxContent>
                          <w:p w:rsidR="009A78C6" w:rsidRPr="00D41EFE" w:rsidRDefault="00820BA8" w:rsidP="009A78C6">
                            <w:pPr>
                              <w:pStyle w:val="Body"/>
                              <w:rPr>
                                <w:sz w:val="21"/>
                                <w:szCs w:val="21"/>
                              </w:rPr>
                            </w:pPr>
                            <w:r w:rsidRPr="00D41EFE">
                              <w:rPr>
                                <w:sz w:val="21"/>
                                <w:szCs w:val="21"/>
                              </w:rPr>
                              <w:t xml:space="preserve">The DOL and the Department of Treasury </w:t>
                            </w:r>
                            <w:r w:rsidR="00CC4EDD" w:rsidRPr="00D41EFE">
                              <w:rPr>
                                <w:sz w:val="21"/>
                                <w:szCs w:val="21"/>
                              </w:rPr>
                              <w:t xml:space="preserve">(Treasury) </w:t>
                            </w:r>
                            <w:r w:rsidRPr="00D41EFE">
                              <w:rPr>
                                <w:sz w:val="21"/>
                                <w:szCs w:val="21"/>
                              </w:rPr>
                              <w:t xml:space="preserve">recently issued </w:t>
                            </w:r>
                            <w:hyperlink r:id="rId9" w:history="1">
                              <w:r w:rsidRPr="00D41EFE">
                                <w:rPr>
                                  <w:rStyle w:val="Hyperlink"/>
                                  <w:sz w:val="21"/>
                                  <w:szCs w:val="21"/>
                                </w:rPr>
                                <w:t>deadline relief</w:t>
                              </w:r>
                            </w:hyperlink>
                            <w:r w:rsidRPr="00D41EFE">
                              <w:rPr>
                                <w:sz w:val="21"/>
                                <w:szCs w:val="21"/>
                              </w:rPr>
                              <w:t xml:space="preserve"> to help employee benefit plans</w:t>
                            </w:r>
                            <w:r w:rsidR="009D4627" w:rsidRPr="00D41EFE">
                              <w:rPr>
                                <w:sz w:val="21"/>
                                <w:szCs w:val="21"/>
                              </w:rPr>
                              <w:t xml:space="preserve"> and</w:t>
                            </w:r>
                            <w:r w:rsidRPr="00D41EFE">
                              <w:rPr>
                                <w:sz w:val="21"/>
                                <w:szCs w:val="21"/>
                              </w:rPr>
                              <w:t xml:space="preserve"> plan participants</w:t>
                            </w:r>
                            <w:r w:rsidR="009D4627" w:rsidRPr="00D41EFE">
                              <w:rPr>
                                <w:sz w:val="21"/>
                                <w:szCs w:val="21"/>
                              </w:rPr>
                              <w:t xml:space="preserve"> affect</w:t>
                            </w:r>
                            <w:r w:rsidR="00A9328B">
                              <w:rPr>
                                <w:sz w:val="21"/>
                                <w:szCs w:val="21"/>
                              </w:rPr>
                              <w:t>e</w:t>
                            </w:r>
                            <w:r w:rsidR="009D4627" w:rsidRPr="00D41EFE">
                              <w:rPr>
                                <w:sz w:val="21"/>
                                <w:szCs w:val="21"/>
                              </w:rPr>
                              <w:t>d</w:t>
                            </w:r>
                            <w:r w:rsidRPr="00D41EFE">
                              <w:rPr>
                                <w:sz w:val="21"/>
                                <w:szCs w:val="21"/>
                              </w:rPr>
                              <w:t xml:space="preserve"> by the COVID-19 outbreak.</w:t>
                            </w:r>
                          </w:p>
                          <w:p w:rsidR="009D4627" w:rsidRPr="00D41EFE" w:rsidRDefault="00820BA8" w:rsidP="00D41EFE">
                            <w:pPr>
                              <w:pStyle w:val="2Header"/>
                              <w:rPr>
                                <w:sz w:val="21"/>
                                <w:szCs w:val="21"/>
                              </w:rPr>
                            </w:pPr>
                            <w:r w:rsidRPr="00D41EFE">
                              <w:rPr>
                                <w:sz w:val="21"/>
                                <w:szCs w:val="21"/>
                              </w:rPr>
                              <w:t xml:space="preserve">Participant Notices </w:t>
                            </w:r>
                          </w:p>
                          <w:p w:rsidR="00207380" w:rsidRPr="00D41EFE" w:rsidRDefault="00820BA8" w:rsidP="00207380">
                            <w:pPr>
                              <w:pStyle w:val="Body"/>
                              <w:rPr>
                                <w:sz w:val="21"/>
                                <w:szCs w:val="21"/>
                              </w:rPr>
                            </w:pPr>
                            <w:r w:rsidRPr="00D41EFE">
                              <w:rPr>
                                <w:sz w:val="21"/>
                                <w:szCs w:val="21"/>
                              </w:rPr>
                              <w:t>The final rule extends the time frames for health plan participants to:</w:t>
                            </w:r>
                          </w:p>
                          <w:p w:rsidR="00207380" w:rsidRPr="00D41EFE" w:rsidRDefault="00820BA8" w:rsidP="00207380">
                            <w:pPr>
                              <w:pStyle w:val="BulletList"/>
                              <w:rPr>
                                <w:sz w:val="21"/>
                                <w:szCs w:val="21"/>
                              </w:rPr>
                            </w:pPr>
                            <w:r w:rsidRPr="00D41EFE">
                              <w:rPr>
                                <w:sz w:val="21"/>
                                <w:szCs w:val="21"/>
                              </w:rPr>
                              <w:t>Request special enrollment under HIPAA</w:t>
                            </w:r>
                          </w:p>
                          <w:p w:rsidR="00207380" w:rsidRPr="00D41EFE" w:rsidRDefault="00820BA8" w:rsidP="00207380">
                            <w:pPr>
                              <w:pStyle w:val="BulletList"/>
                              <w:rPr>
                                <w:sz w:val="21"/>
                                <w:szCs w:val="21"/>
                              </w:rPr>
                            </w:pPr>
                            <w:r w:rsidRPr="00D41EFE">
                              <w:rPr>
                                <w:sz w:val="21"/>
                                <w:szCs w:val="21"/>
                              </w:rPr>
                              <w:t>Elect COBRA continuation coverage, pay COBRA premiums and notify the plan of a COBRA qualifying e</w:t>
                            </w:r>
                            <w:r w:rsidRPr="00D41EFE">
                              <w:rPr>
                                <w:sz w:val="21"/>
                                <w:szCs w:val="21"/>
                              </w:rPr>
                              <w:t>vent</w:t>
                            </w:r>
                          </w:p>
                          <w:p w:rsidR="00207380" w:rsidRPr="00D41EFE" w:rsidRDefault="00820BA8" w:rsidP="00207380">
                            <w:pPr>
                              <w:pStyle w:val="BulletList"/>
                              <w:rPr>
                                <w:sz w:val="21"/>
                                <w:szCs w:val="21"/>
                              </w:rPr>
                            </w:pPr>
                            <w:r w:rsidRPr="00D41EFE">
                              <w:rPr>
                                <w:sz w:val="21"/>
                                <w:szCs w:val="21"/>
                              </w:rPr>
                              <w:t>File benefit claims and appeals</w:t>
                            </w:r>
                            <w:r w:rsidR="001C0FC8">
                              <w:rPr>
                                <w:sz w:val="21"/>
                                <w:szCs w:val="21"/>
                              </w:rPr>
                              <w:t>,</w:t>
                            </w:r>
                            <w:r w:rsidRPr="00D41EFE">
                              <w:rPr>
                                <w:sz w:val="21"/>
                                <w:szCs w:val="21"/>
                              </w:rPr>
                              <w:t xml:space="preserve"> and request external review of denied claims</w:t>
                            </w:r>
                          </w:p>
                          <w:p w:rsidR="00E867B0" w:rsidRPr="00D41EFE" w:rsidRDefault="00820BA8" w:rsidP="00943F46">
                            <w:pPr>
                              <w:pStyle w:val="Body"/>
                              <w:rPr>
                                <w:sz w:val="21"/>
                                <w:szCs w:val="21"/>
                              </w:rPr>
                            </w:pPr>
                            <w:r w:rsidRPr="00D41EFE">
                              <w:rPr>
                                <w:sz w:val="21"/>
                                <w:szCs w:val="21"/>
                              </w:rPr>
                              <w:t>T</w:t>
                            </w:r>
                            <w:r w:rsidR="00CC4EDD" w:rsidRPr="00D41EFE">
                              <w:rPr>
                                <w:sz w:val="21"/>
                                <w:szCs w:val="21"/>
                              </w:rPr>
                              <w:t>h</w:t>
                            </w:r>
                            <w:r w:rsidRPr="00D41EFE">
                              <w:rPr>
                                <w:sz w:val="21"/>
                                <w:szCs w:val="21"/>
                              </w:rPr>
                              <w:t>es</w:t>
                            </w:r>
                            <w:r w:rsidR="00CC4EDD" w:rsidRPr="00D41EFE">
                              <w:rPr>
                                <w:sz w:val="21"/>
                                <w:szCs w:val="21"/>
                              </w:rPr>
                              <w:t xml:space="preserve">e deadlines are extended by disregarding the </w:t>
                            </w:r>
                            <w:r w:rsidRPr="00D41EFE">
                              <w:rPr>
                                <w:sz w:val="21"/>
                                <w:szCs w:val="21"/>
                              </w:rPr>
                              <w:t>“Outbreak Period.” The Outbreak P</w:t>
                            </w:r>
                            <w:r w:rsidR="00CC4EDD" w:rsidRPr="00D41EFE">
                              <w:rPr>
                                <w:sz w:val="21"/>
                                <w:szCs w:val="21"/>
                              </w:rPr>
                              <w:t>eriod</w:t>
                            </w:r>
                            <w:r w:rsidRPr="00D41EFE">
                              <w:rPr>
                                <w:sz w:val="21"/>
                                <w:szCs w:val="21"/>
                              </w:rPr>
                              <w:t xml:space="preserve"> is the period of time</w:t>
                            </w:r>
                            <w:r w:rsidR="00CC4EDD" w:rsidRPr="00D41EFE">
                              <w:rPr>
                                <w:sz w:val="21"/>
                                <w:szCs w:val="21"/>
                              </w:rPr>
                              <w:t xml:space="preserve"> from March 1, 2020, until 60 days after the announced end of the National Emergency (or such other date announced by the DOL and Treasury).</w:t>
                            </w:r>
                            <w:r w:rsidR="00D06C20" w:rsidRPr="00D41EFE">
                              <w:rPr>
                                <w:sz w:val="21"/>
                                <w:szCs w:val="21"/>
                              </w:rPr>
                              <w:t xml:space="preserve"> </w:t>
                            </w:r>
                            <w:r w:rsidRPr="00D41EFE">
                              <w:rPr>
                                <w:sz w:val="21"/>
                                <w:szCs w:val="21"/>
                              </w:rPr>
                              <w:t xml:space="preserve">The Outbreak Period cannot exceed one year.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5pt;margin-top:267.8pt;width:174pt;height:37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" filled="f" stroked="f" strokeweight=".5pt">
                <v:textbox inset="0,,0">
                  <w:txbxContent>
                    <w:p w:rsidR="009A78C6" w:rsidRPr="00D41EFE" w:rsidRDefault="00820BA8" w:rsidP="009A78C6">
                      <w:pPr>
                        <w:pStyle w:val="Body"/>
                        <w:rPr>
                          <w:sz w:val="21"/>
                          <w:szCs w:val="21"/>
                        </w:rPr>
                      </w:pPr>
                      <w:r w:rsidRPr="00D41EFE">
                        <w:rPr>
                          <w:sz w:val="21"/>
                          <w:szCs w:val="21"/>
                        </w:rPr>
                        <w:t xml:space="preserve">The DOL and the Department of Treasury </w:t>
                      </w:r>
                      <w:r w:rsidR="00CC4EDD" w:rsidRPr="00D41EFE">
                        <w:rPr>
                          <w:sz w:val="21"/>
                          <w:szCs w:val="21"/>
                        </w:rPr>
                        <w:t xml:space="preserve">(Treasury) </w:t>
                      </w:r>
                      <w:r w:rsidRPr="00D41EFE">
                        <w:rPr>
                          <w:sz w:val="21"/>
                          <w:szCs w:val="21"/>
                        </w:rPr>
                        <w:t xml:space="preserve">recently issued </w:t>
                      </w:r>
                      <w:hyperlink r:id="rId10" w:history="1">
                        <w:r w:rsidRPr="00D41EFE">
                          <w:rPr>
                            <w:rStyle w:val="Hyperlink"/>
                            <w:sz w:val="21"/>
                            <w:szCs w:val="21"/>
                          </w:rPr>
                          <w:t>deadline relief</w:t>
                        </w:r>
                      </w:hyperlink>
                      <w:r w:rsidRPr="00D41EFE">
                        <w:rPr>
                          <w:sz w:val="21"/>
                          <w:szCs w:val="21"/>
                        </w:rPr>
                        <w:t xml:space="preserve"> to help employee benefit plans</w:t>
                      </w:r>
                      <w:r w:rsidR="009D4627" w:rsidRPr="00D41EFE">
                        <w:rPr>
                          <w:sz w:val="21"/>
                          <w:szCs w:val="21"/>
                        </w:rPr>
                        <w:t xml:space="preserve"> and</w:t>
                      </w:r>
                      <w:r w:rsidRPr="00D41EFE">
                        <w:rPr>
                          <w:sz w:val="21"/>
                          <w:szCs w:val="21"/>
                        </w:rPr>
                        <w:t xml:space="preserve"> plan participants</w:t>
                      </w:r>
                      <w:r w:rsidR="009D4627" w:rsidRPr="00D41EFE">
                        <w:rPr>
                          <w:sz w:val="21"/>
                          <w:szCs w:val="21"/>
                        </w:rPr>
                        <w:t xml:space="preserve"> affect</w:t>
                      </w:r>
                      <w:r w:rsidR="00A9328B">
                        <w:rPr>
                          <w:sz w:val="21"/>
                          <w:szCs w:val="21"/>
                        </w:rPr>
                        <w:t>e</w:t>
                      </w:r>
                      <w:r w:rsidR="009D4627" w:rsidRPr="00D41EFE">
                        <w:rPr>
                          <w:sz w:val="21"/>
                          <w:szCs w:val="21"/>
                        </w:rPr>
                        <w:t>d</w:t>
                      </w:r>
                      <w:r w:rsidRPr="00D41EFE">
                        <w:rPr>
                          <w:sz w:val="21"/>
                          <w:szCs w:val="21"/>
                        </w:rPr>
                        <w:t xml:space="preserve"> by the COVID-19 outbreak.</w:t>
                      </w:r>
                    </w:p>
                    <w:p w:rsidR="009D4627" w:rsidRPr="00D41EFE" w:rsidRDefault="00820BA8" w:rsidP="00D41EFE">
                      <w:pPr>
                        <w:pStyle w:val="2Header"/>
                        <w:rPr>
                          <w:sz w:val="21"/>
                          <w:szCs w:val="21"/>
                        </w:rPr>
                      </w:pPr>
                      <w:r w:rsidRPr="00D41EFE">
                        <w:rPr>
                          <w:sz w:val="21"/>
                          <w:szCs w:val="21"/>
                        </w:rPr>
                        <w:t xml:space="preserve">Participant Notices </w:t>
                      </w:r>
                    </w:p>
                    <w:p w:rsidR="00207380" w:rsidRPr="00D41EFE" w:rsidRDefault="00820BA8" w:rsidP="00207380">
                      <w:pPr>
                        <w:pStyle w:val="Body"/>
                        <w:rPr>
                          <w:sz w:val="21"/>
                          <w:szCs w:val="21"/>
                        </w:rPr>
                      </w:pPr>
                      <w:r w:rsidRPr="00D41EFE">
                        <w:rPr>
                          <w:sz w:val="21"/>
                          <w:szCs w:val="21"/>
                        </w:rPr>
                        <w:t>The final rule extends the time frames for health plan participants to:</w:t>
                      </w:r>
                    </w:p>
                    <w:p w:rsidR="00207380" w:rsidRPr="00D41EFE" w:rsidRDefault="00820BA8" w:rsidP="00207380">
                      <w:pPr>
                        <w:pStyle w:val="BulletList"/>
                        <w:rPr>
                          <w:sz w:val="21"/>
                          <w:szCs w:val="21"/>
                        </w:rPr>
                      </w:pPr>
                      <w:r w:rsidRPr="00D41EFE">
                        <w:rPr>
                          <w:sz w:val="21"/>
                          <w:szCs w:val="21"/>
                        </w:rPr>
                        <w:t>Request special enrollment under HIPAA</w:t>
                      </w:r>
                    </w:p>
                    <w:p w:rsidR="00207380" w:rsidRPr="00D41EFE" w:rsidRDefault="00820BA8" w:rsidP="00207380">
                      <w:pPr>
                        <w:pStyle w:val="BulletList"/>
                        <w:rPr>
                          <w:sz w:val="21"/>
                          <w:szCs w:val="21"/>
                        </w:rPr>
                      </w:pPr>
                      <w:r w:rsidRPr="00D41EFE">
                        <w:rPr>
                          <w:sz w:val="21"/>
                          <w:szCs w:val="21"/>
                        </w:rPr>
                        <w:t>Elect COBRA continuation coverage, pay COBRA premiums and notify the plan of a COBRA qualifying e</w:t>
                      </w:r>
                      <w:r w:rsidRPr="00D41EFE">
                        <w:rPr>
                          <w:sz w:val="21"/>
                          <w:szCs w:val="21"/>
                        </w:rPr>
                        <w:t>vent</w:t>
                      </w:r>
                    </w:p>
                    <w:p w:rsidR="00207380" w:rsidRPr="00D41EFE" w:rsidRDefault="00820BA8" w:rsidP="00207380">
                      <w:pPr>
                        <w:pStyle w:val="BulletList"/>
                        <w:rPr>
                          <w:sz w:val="21"/>
                          <w:szCs w:val="21"/>
                        </w:rPr>
                      </w:pPr>
                      <w:r w:rsidRPr="00D41EFE">
                        <w:rPr>
                          <w:sz w:val="21"/>
                          <w:szCs w:val="21"/>
                        </w:rPr>
                        <w:t>File benefit claims and appeals</w:t>
                      </w:r>
                      <w:r w:rsidR="001C0FC8">
                        <w:rPr>
                          <w:sz w:val="21"/>
                          <w:szCs w:val="21"/>
                        </w:rPr>
                        <w:t>,</w:t>
                      </w:r>
                      <w:r w:rsidRPr="00D41EFE">
                        <w:rPr>
                          <w:sz w:val="21"/>
                          <w:szCs w:val="21"/>
                        </w:rPr>
                        <w:t xml:space="preserve"> and request external review of denied claims</w:t>
                      </w:r>
                    </w:p>
                    <w:p w:rsidR="00E867B0" w:rsidRPr="00D41EFE" w:rsidRDefault="00820BA8" w:rsidP="00943F46">
                      <w:pPr>
                        <w:pStyle w:val="Body"/>
                        <w:rPr>
                          <w:sz w:val="21"/>
                          <w:szCs w:val="21"/>
                        </w:rPr>
                      </w:pPr>
                      <w:r w:rsidRPr="00D41EFE">
                        <w:rPr>
                          <w:sz w:val="21"/>
                          <w:szCs w:val="21"/>
                        </w:rPr>
                        <w:t>T</w:t>
                      </w:r>
                      <w:r w:rsidR="00CC4EDD" w:rsidRPr="00D41EFE">
                        <w:rPr>
                          <w:sz w:val="21"/>
                          <w:szCs w:val="21"/>
                        </w:rPr>
                        <w:t>h</w:t>
                      </w:r>
                      <w:r w:rsidRPr="00D41EFE">
                        <w:rPr>
                          <w:sz w:val="21"/>
                          <w:szCs w:val="21"/>
                        </w:rPr>
                        <w:t>es</w:t>
                      </w:r>
                      <w:r w:rsidR="00CC4EDD" w:rsidRPr="00D41EFE">
                        <w:rPr>
                          <w:sz w:val="21"/>
                          <w:szCs w:val="21"/>
                        </w:rPr>
                        <w:t xml:space="preserve">e deadlines are extended by disregarding the </w:t>
                      </w:r>
                      <w:r w:rsidRPr="00D41EFE">
                        <w:rPr>
                          <w:sz w:val="21"/>
                          <w:szCs w:val="21"/>
                        </w:rPr>
                        <w:t>“Outbreak Period.” The Outbreak P</w:t>
                      </w:r>
                      <w:r w:rsidR="00CC4EDD" w:rsidRPr="00D41EFE">
                        <w:rPr>
                          <w:sz w:val="21"/>
                          <w:szCs w:val="21"/>
                        </w:rPr>
                        <w:t>eriod</w:t>
                      </w:r>
                      <w:r w:rsidRPr="00D41EFE">
                        <w:rPr>
                          <w:sz w:val="21"/>
                          <w:szCs w:val="21"/>
                        </w:rPr>
                        <w:t xml:space="preserve"> is the period of time</w:t>
                      </w:r>
                      <w:r w:rsidR="00CC4EDD" w:rsidRPr="00D41EFE">
                        <w:rPr>
                          <w:sz w:val="21"/>
                          <w:szCs w:val="21"/>
                        </w:rPr>
                        <w:t xml:space="preserve"> from March 1, 2020, until 60 days after the announced end of the National Emergency (or such other date announced by the DOL and Treasury).</w:t>
                      </w:r>
                      <w:r w:rsidR="00D06C20" w:rsidRPr="00D41EFE">
                        <w:rPr>
                          <w:sz w:val="21"/>
                          <w:szCs w:val="21"/>
                        </w:rPr>
                        <w:t xml:space="preserve"> </w:t>
                      </w:r>
                      <w:r w:rsidRPr="00D41EFE">
                        <w:rPr>
                          <w:sz w:val="21"/>
                          <w:szCs w:val="21"/>
                        </w:rPr>
                        <w:t xml:space="preserve">The Outbreak Period cannot exceed one year. </w:t>
                      </w:r>
                    </w:p>
                  </w:txbxContent>
                </v:textbox>
                <w10:wrap anchorx="margin"/>
              </v:shape>
            </w:pict>
          </mc:Fallback>
        </mc:AlternateContent>
      </w:r>
      <w:r w:rsidR="00207380">
        <w:rPr>
          <w:noProof/>
        </w:rPr>
        <mc:AlternateContent>
          <mc:Choice Requires="wps">
            <w:drawing>
              <wp:anchor distT="0" distB="0" distL="114300" distR="114300" simplePos="0" relativeHeight="251673600" behindDoc="0" locked="0" layoutInCell="1" allowOverlap="1">
                <wp:simplePos x="0" y="0"/>
                <wp:positionH relativeFrom="margin">
                  <wp:posOffset>2260069</wp:posOffset>
                </wp:positionH>
                <wp:positionV relativeFrom="paragraph">
                  <wp:posOffset>3398075</wp:posOffset>
                </wp:positionV>
                <wp:extent cx="2263775" cy="4476465"/>
                <wp:effectExtent l="0" t="0" r="3175" b="635"/>
                <wp:wrapNone/>
                <wp:docPr id="20" name="Text Box 20"/>
                <wp:cNvGraphicFramePr/>
                <a:graphic xmlns:a="http://schemas.openxmlformats.org/drawingml/2006/main">
                  <a:graphicData uri="http://schemas.microsoft.com/office/word/2010/wordprocessingShape">
                    <wps:wsp>
                      <wps:cNvSpPr txBox="1"/>
                      <wps:spPr>
                        <a:xfrm>
                          <a:off x="0" y="0"/>
                          <a:ext cx="2263775" cy="4476465"/>
                        </a:xfrm>
                        <a:prstGeom prst="rect">
                          <a:avLst/>
                        </a:prstGeom>
                        <a:noFill/>
                        <a:ln w="6350">
                          <a:noFill/>
                        </a:ln>
                      </wps:spPr>
                      <wps:txbx>
                        <w:txbxContent>
                          <w:p w:rsidR="00D06C20" w:rsidRPr="00D41EFE" w:rsidRDefault="00820BA8" w:rsidP="00D06C20">
                            <w:pPr>
                              <w:pStyle w:val="2Header"/>
                              <w:rPr>
                                <w:sz w:val="21"/>
                                <w:szCs w:val="21"/>
                              </w:rPr>
                            </w:pPr>
                            <w:r w:rsidRPr="00D41EFE">
                              <w:rPr>
                                <w:sz w:val="21"/>
                                <w:szCs w:val="21"/>
                              </w:rPr>
                              <w:t>ERISA Notices and Disclosures</w:t>
                            </w:r>
                          </w:p>
                          <w:p w:rsidR="00D06C20" w:rsidRPr="00D41EFE" w:rsidRDefault="00820BA8" w:rsidP="00D06C20">
                            <w:pPr>
                              <w:pStyle w:val="Body"/>
                              <w:rPr>
                                <w:sz w:val="21"/>
                                <w:szCs w:val="21"/>
                              </w:rPr>
                            </w:pPr>
                            <w:r w:rsidRPr="00D41EFE">
                              <w:rPr>
                                <w:sz w:val="21"/>
                                <w:szCs w:val="21"/>
                              </w:rPr>
                              <w:t xml:space="preserve">In addition to the deadline relief </w:t>
                            </w:r>
                            <w:r w:rsidR="00943F46" w:rsidRPr="00D41EFE">
                              <w:rPr>
                                <w:sz w:val="21"/>
                                <w:szCs w:val="21"/>
                              </w:rPr>
                              <w:t>for plan participants</w:t>
                            </w:r>
                            <w:r w:rsidRPr="00D41EFE">
                              <w:rPr>
                                <w:sz w:val="21"/>
                                <w:szCs w:val="21"/>
                              </w:rPr>
                              <w:t xml:space="preserve">, the DOL issued </w:t>
                            </w:r>
                            <w:hyperlink r:id="rId11" w:history="1">
                              <w:r w:rsidRPr="00D41EFE">
                                <w:rPr>
                                  <w:rStyle w:val="Hyperlink"/>
                                  <w:sz w:val="21"/>
                                  <w:szCs w:val="21"/>
                                </w:rPr>
                                <w:t>Disaster Relief Notice 2020-01</w:t>
                              </w:r>
                            </w:hyperlink>
                            <w:r w:rsidRPr="00D41EFE">
                              <w:rPr>
                                <w:sz w:val="21"/>
                                <w:szCs w:val="21"/>
                              </w:rPr>
                              <w:t xml:space="preserve"> to extend the time for plan officials to furnish benefit statemen</w:t>
                            </w:r>
                            <w:r w:rsidRPr="00D41EFE">
                              <w:rPr>
                                <w:sz w:val="21"/>
                                <w:szCs w:val="21"/>
                              </w:rPr>
                              <w:t xml:space="preserve">ts and other notices and disclosures required under ERISA. </w:t>
                            </w:r>
                          </w:p>
                          <w:p w:rsidR="009D4627" w:rsidRPr="00D41EFE" w:rsidRDefault="00820BA8" w:rsidP="00D41EFE">
                            <w:pPr>
                              <w:pStyle w:val="Body"/>
                              <w:rPr>
                                <w:b/>
                                <w:sz w:val="21"/>
                                <w:szCs w:val="21"/>
                              </w:rPr>
                            </w:pPr>
                            <w:r w:rsidRPr="00D41EFE">
                              <w:rPr>
                                <w:sz w:val="21"/>
                                <w:szCs w:val="21"/>
                              </w:rPr>
                              <w:t xml:space="preserve">Some of the key disclosures required by ERISA include the Summary Plan Description (SPD), Summary of Material Modifications (SMM) and Summary of Benefits and Coverage (SBC). </w:t>
                            </w:r>
                          </w:p>
                          <w:p w:rsidR="009D4627" w:rsidRPr="00D41EFE" w:rsidRDefault="00820BA8" w:rsidP="00D41EFE">
                            <w:pPr>
                              <w:pStyle w:val="Body"/>
                              <w:rPr>
                                <w:sz w:val="21"/>
                                <w:szCs w:val="21"/>
                              </w:rPr>
                            </w:pPr>
                            <w:r w:rsidRPr="00D41EFE">
                              <w:rPr>
                                <w:sz w:val="21"/>
                                <w:szCs w:val="21"/>
                              </w:rPr>
                              <w:t>This relief is availa</w:t>
                            </w:r>
                            <w:r w:rsidRPr="00D41EFE">
                              <w:rPr>
                                <w:sz w:val="21"/>
                                <w:szCs w:val="21"/>
                              </w:rPr>
                              <w:t xml:space="preserve">ble to plans that act in good faith to furnish required documents as soon as administratively practicable. Acting in good faith can include using electronic communication to provide documents if certain requirements are met. </w:t>
                            </w:r>
                          </w:p>
                          <w:p w:rsidR="00D06C20" w:rsidRPr="00D41EFE" w:rsidRDefault="00820BA8" w:rsidP="00207380">
                            <w:pPr>
                              <w:pStyle w:val="2Header"/>
                              <w:rPr>
                                <w:sz w:val="21"/>
                                <w:szCs w:val="21"/>
                              </w:rPr>
                            </w:pPr>
                            <w:r w:rsidRPr="00D41EFE">
                              <w:rPr>
                                <w:sz w:val="21"/>
                                <w:szCs w:val="21"/>
                              </w:rPr>
                              <w:t>More Information</w:t>
                            </w:r>
                          </w:p>
                          <w:p w:rsidR="00207380" w:rsidRPr="00D41EFE" w:rsidRDefault="00820BA8" w:rsidP="00D06C20">
                            <w:pPr>
                              <w:pStyle w:val="Body"/>
                              <w:rPr>
                                <w:sz w:val="21"/>
                                <w:szCs w:val="21"/>
                              </w:rPr>
                            </w:pPr>
                            <w:r w:rsidRPr="00D41EFE">
                              <w:rPr>
                                <w:sz w:val="21"/>
                                <w:szCs w:val="21"/>
                              </w:rPr>
                              <w:t>There are add</w:t>
                            </w:r>
                            <w:r w:rsidRPr="00D41EFE">
                              <w:rPr>
                                <w:sz w:val="21"/>
                                <w:szCs w:val="21"/>
                              </w:rPr>
                              <w:t xml:space="preserve">itional deadlines affected by the COVID-19 relief. Contact us today to learn which other benefit plan deadlines are extended.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177.95pt;margin-top:267.55pt;width:178.25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" filled="f" stroked="f" strokeweight=".5pt">
                <v:textbox inset="0,,0">
                  <w:txbxContent>
                    <w:p w:rsidR="00D06C20" w:rsidRPr="00D41EFE" w:rsidRDefault="00820BA8" w:rsidP="00D06C20">
                      <w:pPr>
                        <w:pStyle w:val="2Header"/>
                        <w:rPr>
                          <w:sz w:val="21"/>
                          <w:szCs w:val="21"/>
                        </w:rPr>
                      </w:pPr>
                      <w:r w:rsidRPr="00D41EFE">
                        <w:rPr>
                          <w:sz w:val="21"/>
                          <w:szCs w:val="21"/>
                        </w:rPr>
                        <w:t>ERISA Notices and Disclosures</w:t>
                      </w:r>
                    </w:p>
                    <w:p w:rsidR="00D06C20" w:rsidRPr="00D41EFE" w:rsidRDefault="00820BA8" w:rsidP="00D06C20">
                      <w:pPr>
                        <w:pStyle w:val="Body"/>
                        <w:rPr>
                          <w:sz w:val="21"/>
                          <w:szCs w:val="21"/>
                        </w:rPr>
                      </w:pPr>
                      <w:r w:rsidRPr="00D41EFE">
                        <w:rPr>
                          <w:sz w:val="21"/>
                          <w:szCs w:val="21"/>
                        </w:rPr>
                        <w:t xml:space="preserve">In addition to the deadline relief </w:t>
                      </w:r>
                      <w:r w:rsidR="00943F46" w:rsidRPr="00D41EFE">
                        <w:rPr>
                          <w:sz w:val="21"/>
                          <w:szCs w:val="21"/>
                        </w:rPr>
                        <w:t>for plan participants</w:t>
                      </w:r>
                      <w:r w:rsidRPr="00D41EFE">
                        <w:rPr>
                          <w:sz w:val="21"/>
                          <w:szCs w:val="21"/>
                        </w:rPr>
                        <w:t xml:space="preserve">, the DOL issued </w:t>
                      </w:r>
                      <w:hyperlink r:id="rId12" w:history="1">
                        <w:r w:rsidRPr="00D41EFE">
                          <w:rPr>
                            <w:rStyle w:val="Hyperlink"/>
                            <w:sz w:val="21"/>
                            <w:szCs w:val="21"/>
                          </w:rPr>
                          <w:t>Disaster Relief Notice 2020-01</w:t>
                        </w:r>
                      </w:hyperlink>
                      <w:r w:rsidRPr="00D41EFE">
                        <w:rPr>
                          <w:sz w:val="21"/>
                          <w:szCs w:val="21"/>
                        </w:rPr>
                        <w:t xml:space="preserve"> to extend the time for plan officials to furnish benefit statemen</w:t>
                      </w:r>
                      <w:r w:rsidRPr="00D41EFE">
                        <w:rPr>
                          <w:sz w:val="21"/>
                          <w:szCs w:val="21"/>
                        </w:rPr>
                        <w:t xml:space="preserve">ts and other notices and disclosures required under ERISA. </w:t>
                      </w:r>
                    </w:p>
                    <w:p w:rsidR="009D4627" w:rsidRPr="00D41EFE" w:rsidRDefault="00820BA8" w:rsidP="00D41EFE">
                      <w:pPr>
                        <w:pStyle w:val="Body"/>
                        <w:rPr>
                          <w:b/>
                          <w:sz w:val="21"/>
                          <w:szCs w:val="21"/>
                        </w:rPr>
                      </w:pPr>
                      <w:r w:rsidRPr="00D41EFE">
                        <w:rPr>
                          <w:sz w:val="21"/>
                          <w:szCs w:val="21"/>
                        </w:rPr>
                        <w:t xml:space="preserve">Some of the key disclosures required by ERISA include the Summary Plan Description (SPD), Summary of Material Modifications (SMM) and Summary of Benefits and Coverage (SBC). </w:t>
                      </w:r>
                    </w:p>
                    <w:p w:rsidR="009D4627" w:rsidRPr="00D41EFE" w:rsidRDefault="00820BA8" w:rsidP="00D41EFE">
                      <w:pPr>
                        <w:pStyle w:val="Body"/>
                        <w:rPr>
                          <w:sz w:val="21"/>
                          <w:szCs w:val="21"/>
                        </w:rPr>
                      </w:pPr>
                      <w:r w:rsidRPr="00D41EFE">
                        <w:rPr>
                          <w:sz w:val="21"/>
                          <w:szCs w:val="21"/>
                        </w:rPr>
                        <w:t>This relief is availa</w:t>
                      </w:r>
                      <w:r w:rsidRPr="00D41EFE">
                        <w:rPr>
                          <w:sz w:val="21"/>
                          <w:szCs w:val="21"/>
                        </w:rPr>
                        <w:t xml:space="preserve">ble to plans that act in good faith to furnish required documents as soon as administratively practicable. Acting in good faith can include using electronic communication to provide documents if certain requirements are met. </w:t>
                      </w:r>
                    </w:p>
                    <w:p w:rsidR="00D06C20" w:rsidRPr="00D41EFE" w:rsidRDefault="00820BA8" w:rsidP="00207380">
                      <w:pPr>
                        <w:pStyle w:val="2Header"/>
                        <w:rPr>
                          <w:sz w:val="21"/>
                          <w:szCs w:val="21"/>
                        </w:rPr>
                      </w:pPr>
                      <w:r w:rsidRPr="00D41EFE">
                        <w:rPr>
                          <w:sz w:val="21"/>
                          <w:szCs w:val="21"/>
                        </w:rPr>
                        <w:t>More Information</w:t>
                      </w:r>
                    </w:p>
                    <w:p w:rsidR="00207380" w:rsidRPr="00D41EFE" w:rsidRDefault="00820BA8" w:rsidP="00D06C20">
                      <w:pPr>
                        <w:pStyle w:val="Body"/>
                        <w:rPr>
                          <w:sz w:val="21"/>
                          <w:szCs w:val="21"/>
                        </w:rPr>
                      </w:pPr>
                      <w:r w:rsidRPr="00D41EFE">
                        <w:rPr>
                          <w:sz w:val="21"/>
                          <w:szCs w:val="21"/>
                        </w:rPr>
                        <w:t>There are add</w:t>
                      </w:r>
                      <w:r w:rsidRPr="00D41EFE">
                        <w:rPr>
                          <w:sz w:val="21"/>
                          <w:szCs w:val="21"/>
                        </w:rPr>
                        <w:t xml:space="preserve">itional deadlines affected by the COVID-19 relief. Contact us today to learn which other benefit plan deadlines are extended. </w:t>
                      </w:r>
                    </w:p>
                  </w:txbxContent>
                </v:textbox>
                <w10:wrap anchorx="margin"/>
              </v:shape>
            </w:pict>
          </mc:Fallback>
        </mc:AlternateContent>
      </w:r>
      <w:r w:rsidR="00D06C20">
        <w:rPr>
          <w:noProof/>
        </w:rPr>
        <mc:AlternateContent>
          <mc:Choice Requires="wps">
            <w:drawing>
              <wp:anchor distT="0" distB="0" distL="114300" distR="114300" simplePos="0" relativeHeight="251671552" behindDoc="0" locked="0" layoutInCell="1" allowOverlap="1">
                <wp:simplePos x="0" y="0"/>
                <wp:positionH relativeFrom="margin">
                  <wp:posOffset>-30480</wp:posOffset>
                </wp:positionH>
                <wp:positionV relativeFrom="paragraph">
                  <wp:posOffset>2839085</wp:posOffset>
                </wp:positionV>
                <wp:extent cx="4616450" cy="711835"/>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4616450" cy="711835"/>
                        </a:xfrm>
                        <a:prstGeom prst="rect">
                          <a:avLst/>
                        </a:prstGeom>
                        <a:noFill/>
                        <a:ln w="6350">
                          <a:noFill/>
                        </a:ln>
                      </wps:spPr>
                      <wps:txbx>
                        <w:txbxContent>
                          <w:p w:rsidR="009C336C" w:rsidRDefault="00820BA8" w:rsidP="009C336C">
                            <w:pPr>
                              <w:pStyle w:val="1Header"/>
                            </w:pPr>
                            <w:r>
                              <w:t xml:space="preserve">COVID-19 </w:t>
                            </w:r>
                            <w:r w:rsidRPr="00790983">
                              <w:t xml:space="preserve">Relief </w:t>
                            </w:r>
                            <w:r w:rsidR="00943F46">
                              <w:t>for</w:t>
                            </w:r>
                            <w:r w:rsidR="009A78C6">
                              <w:t xml:space="preserve"> Employee Benefit Plan Deadlines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2.4pt;margin-top:223.55pt;width:363.5pt;height:5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" filled="f" stroked="f" strokeweight=".5pt">
                <v:textbox inset="0,,0">
                  <w:txbxContent>
                    <w:p w:rsidR="009C336C" w:rsidRDefault="00820BA8" w:rsidP="009C336C">
                      <w:pPr>
                        <w:pStyle w:val="1Header"/>
                      </w:pPr>
                      <w:r>
                        <w:t xml:space="preserve">COVID-19 </w:t>
                      </w:r>
                      <w:r w:rsidRPr="00790983">
                        <w:t xml:space="preserve">Relief </w:t>
                      </w:r>
                      <w:r w:rsidR="00943F46">
                        <w:t>for</w:t>
                      </w:r>
                      <w:r w:rsidR="009A78C6">
                        <w:t xml:space="preserve"> Employee Benefit Plan Deadlines</w:t>
                      </w:r>
                    </w:p>
                  </w:txbxContent>
                </v:textbox>
                <w10:wrap anchorx="margin"/>
              </v:shape>
            </w:pict>
          </mc:Fallback>
        </mc:AlternateContent>
      </w:r>
      <w:r w:rsidR="00D53C6E">
        <w:rPr>
          <w:noProof/>
        </w:rPr>
        <mc:AlternateContent>
          <mc:Choice Requires="wps">
            <w:drawing>
              <wp:anchor distT="0" distB="0" distL="114300" distR="114300" simplePos="0" relativeHeight="251667456" behindDoc="0" locked="0" layoutInCell="1" allowOverlap="1">
                <wp:simplePos x="0" y="0"/>
                <wp:positionH relativeFrom="margin">
                  <wp:posOffset>2226945</wp:posOffset>
                </wp:positionH>
                <wp:positionV relativeFrom="paragraph">
                  <wp:posOffset>105410</wp:posOffset>
                </wp:positionV>
                <wp:extent cx="2228850" cy="3000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28850" cy="3000375"/>
                        </a:xfrm>
                        <a:prstGeom prst="rect">
                          <a:avLst/>
                        </a:prstGeom>
                        <a:noFill/>
                        <a:ln w="6350">
                          <a:noFill/>
                        </a:ln>
                      </wps:spPr>
                      <wps:txbx>
                        <w:txbxContent>
                          <w:p w:rsidR="00D53C6E" w:rsidRPr="00CC4EDD" w:rsidRDefault="00820BA8" w:rsidP="00D53C6E">
                            <w:pPr>
                              <w:pStyle w:val="BulletList"/>
                              <w:numPr>
                                <w:ilvl w:val="0"/>
                                <w:numId w:val="0"/>
                              </w:numPr>
                              <w:ind w:left="273"/>
                              <w:rPr>
                                <w:sz w:val="21"/>
                                <w:szCs w:val="21"/>
                              </w:rPr>
                            </w:pPr>
                            <w:r w:rsidRPr="00CC4EDD">
                              <w:rPr>
                                <w:sz w:val="21"/>
                                <w:szCs w:val="21"/>
                              </w:rPr>
                              <w:t>be provided to each employee and spouse within 90 days of coverage.</w:t>
                            </w:r>
                          </w:p>
                          <w:p w:rsidR="00790983" w:rsidRPr="00CC4EDD" w:rsidRDefault="00820BA8" w:rsidP="00D53C6E">
                            <w:pPr>
                              <w:pStyle w:val="BulletList"/>
                              <w:rPr>
                                <w:sz w:val="21"/>
                                <w:szCs w:val="21"/>
                              </w:rPr>
                            </w:pPr>
                            <w:r w:rsidRPr="00CC4EDD">
                              <w:rPr>
                                <w:sz w:val="21"/>
                                <w:szCs w:val="21"/>
                              </w:rPr>
                              <w:t xml:space="preserve">The notice of a qualified beneficiary’s right to elect continued coverage, which must be provided within 14 days after receiving notice of a qualifying event.  </w:t>
                            </w:r>
                          </w:p>
                          <w:p w:rsidR="00D53C6E" w:rsidRPr="00CC4EDD" w:rsidRDefault="00820BA8" w:rsidP="00D53C6E">
                            <w:pPr>
                              <w:pStyle w:val="Body"/>
                              <w:rPr>
                                <w:sz w:val="21"/>
                                <w:szCs w:val="21"/>
                              </w:rPr>
                            </w:pPr>
                            <w:r w:rsidRPr="00CC4EDD">
                              <w:rPr>
                                <w:sz w:val="21"/>
                                <w:szCs w:val="21"/>
                              </w:rPr>
                              <w:t>The updated model notices aim to help qualified beneficiaries better understand the interaction</w:t>
                            </w:r>
                            <w:r w:rsidRPr="00CC4EDD">
                              <w:rPr>
                                <w:sz w:val="21"/>
                                <w:szCs w:val="21"/>
                              </w:rPr>
                              <w:t xml:space="preserve">s between Medicare and COBRA. Additional details about Medicare and COBRA enrollment options are also included in the updated model notices.  </w:t>
                            </w:r>
                          </w:p>
                          <w:p w:rsidR="00D53C6E" w:rsidRPr="00CC4EDD" w:rsidRDefault="00D53C6E" w:rsidP="00D53C6E">
                            <w:pPr>
                              <w:pStyle w:val="Body"/>
                              <w:rPr>
                                <w:sz w:val="21"/>
                                <w:szCs w:val="2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75.35pt;margin-top:8.3pt;width:175.5pt;height:23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" filled="f" stroked="f" strokeweight=".5pt">
                <v:textbox inset="0,,0">
                  <w:txbxContent>
                    <w:p w:rsidR="00D53C6E" w:rsidRPr="00CC4EDD" w:rsidRDefault="00820BA8" w:rsidP="00D53C6E">
                      <w:pPr>
                        <w:pStyle w:val="BulletList"/>
                        <w:numPr>
                          <w:ilvl w:val="0"/>
                          <w:numId w:val="0"/>
                        </w:numPr>
                        <w:ind w:left="273"/>
                        <w:rPr>
                          <w:sz w:val="21"/>
                          <w:szCs w:val="21"/>
                        </w:rPr>
                      </w:pPr>
                      <w:r w:rsidRPr="00CC4EDD">
                        <w:rPr>
                          <w:sz w:val="21"/>
                          <w:szCs w:val="21"/>
                        </w:rPr>
                        <w:t>be provided to each employee and spouse within 90 days of coverage.</w:t>
                      </w:r>
                    </w:p>
                    <w:p w:rsidR="00790983" w:rsidRPr="00CC4EDD" w:rsidRDefault="00820BA8" w:rsidP="00D53C6E">
                      <w:pPr>
                        <w:pStyle w:val="BulletList"/>
                        <w:rPr>
                          <w:sz w:val="21"/>
                          <w:szCs w:val="21"/>
                        </w:rPr>
                      </w:pPr>
                      <w:r w:rsidRPr="00CC4EDD">
                        <w:rPr>
                          <w:sz w:val="21"/>
                          <w:szCs w:val="21"/>
                        </w:rPr>
                        <w:t xml:space="preserve">The notice of a qualified beneficiary’s right to elect continued coverage, which must be provided within 14 days after receiving notice of a qualifying event.  </w:t>
                      </w:r>
                    </w:p>
                    <w:p w:rsidR="00D53C6E" w:rsidRPr="00CC4EDD" w:rsidRDefault="00820BA8" w:rsidP="00D53C6E">
                      <w:pPr>
                        <w:pStyle w:val="Body"/>
                        <w:rPr>
                          <w:sz w:val="21"/>
                          <w:szCs w:val="21"/>
                        </w:rPr>
                      </w:pPr>
                      <w:r w:rsidRPr="00CC4EDD">
                        <w:rPr>
                          <w:sz w:val="21"/>
                          <w:szCs w:val="21"/>
                        </w:rPr>
                        <w:t>The updated model notices aim to help qualified beneficiaries better understand the interaction</w:t>
                      </w:r>
                      <w:r w:rsidRPr="00CC4EDD">
                        <w:rPr>
                          <w:sz w:val="21"/>
                          <w:szCs w:val="21"/>
                        </w:rPr>
                        <w:t xml:space="preserve">s between Medicare and COBRA. Additional details about Medicare and COBRA enrollment options are also included in the updated model notices.  </w:t>
                      </w:r>
                    </w:p>
                    <w:p w:rsidR="00D53C6E" w:rsidRPr="00CC4EDD" w:rsidRDefault="00D53C6E" w:rsidP="00D53C6E">
                      <w:pPr>
                        <w:pStyle w:val="Body"/>
                        <w:rPr>
                          <w:sz w:val="21"/>
                          <w:szCs w:val="21"/>
                        </w:rPr>
                      </w:pPr>
                    </w:p>
                  </w:txbxContent>
                </v:textbox>
                <w10:wrap anchorx="margin"/>
              </v:shape>
            </w:pict>
          </mc:Fallback>
        </mc:AlternateContent>
      </w:r>
      <w:r w:rsidR="00CA7891">
        <w:rPr>
          <w:noProof/>
        </w:rPr>
        <mc:AlternateContent>
          <mc:Choice Requires="wps">
            <w:drawing>
              <wp:anchor distT="0" distB="0" distL="114300" distR="114300" simplePos="0" relativeHeight="251663360" behindDoc="0" locked="0" layoutInCell="1" allowOverlap="1">
                <wp:simplePos x="0" y="0"/>
                <wp:positionH relativeFrom="margin">
                  <wp:posOffset>-1905</wp:posOffset>
                </wp:positionH>
                <wp:positionV relativeFrom="paragraph">
                  <wp:posOffset>105410</wp:posOffset>
                </wp:positionV>
                <wp:extent cx="2105025" cy="303847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05025" cy="3038475"/>
                        </a:xfrm>
                        <a:prstGeom prst="rect">
                          <a:avLst/>
                        </a:prstGeom>
                        <a:noFill/>
                        <a:ln w="6350">
                          <a:noFill/>
                        </a:ln>
                      </wps:spPr>
                      <wps:txbx>
                        <w:txbxContent>
                          <w:p w:rsidR="00790983" w:rsidRPr="00D41EFE" w:rsidRDefault="00820BA8" w:rsidP="008821E9">
                            <w:pPr>
                              <w:spacing w:line="252" w:lineRule="auto"/>
                              <w:rPr>
                                <w:sz w:val="21"/>
                                <w:szCs w:val="21"/>
                              </w:rPr>
                            </w:pPr>
                            <w:r w:rsidRPr="00D41EFE">
                              <w:rPr>
                                <w:sz w:val="21"/>
                                <w:szCs w:val="21"/>
                              </w:rPr>
                              <w:t xml:space="preserve">The Department of Labor (DOL) recently issued </w:t>
                            </w:r>
                            <w:hyperlink r:id="rId13" w:history="1">
                              <w:r w:rsidRPr="00D41EFE">
                                <w:rPr>
                                  <w:rStyle w:val="Hyperlink"/>
                                  <w:sz w:val="21"/>
                                  <w:szCs w:val="21"/>
                                </w:rPr>
                                <w:t>new model notices</w:t>
                              </w:r>
                            </w:hyperlink>
                            <w:r w:rsidRPr="00D41EFE">
                              <w:rPr>
                                <w:sz w:val="21"/>
                                <w:szCs w:val="21"/>
                              </w:rPr>
                              <w:t xml:space="preserve"> for group health plan administrators to use to comply with COBRA notification requirements. </w:t>
                            </w:r>
                          </w:p>
                          <w:p w:rsidR="00872F48" w:rsidRPr="00D41EFE" w:rsidRDefault="00820BA8" w:rsidP="00D53C6E">
                            <w:pPr>
                              <w:spacing w:line="252" w:lineRule="auto"/>
                              <w:rPr>
                                <w:sz w:val="21"/>
                                <w:szCs w:val="21"/>
                              </w:rPr>
                            </w:pPr>
                            <w:r w:rsidRPr="00D41EFE">
                              <w:rPr>
                                <w:sz w:val="21"/>
                                <w:szCs w:val="21"/>
                              </w:rPr>
                              <w:t>Although plan administrators are not required to use the updated model notices, the DOL generally considers their use—with the</w:t>
                            </w:r>
                            <w:r w:rsidRPr="00D41EFE">
                              <w:rPr>
                                <w:sz w:val="21"/>
                                <w:szCs w:val="21"/>
                              </w:rPr>
                              <w:t xml:space="preserve"> addition of appropriate plan information—to be good faith compliance with COBRA’s content requirements for: </w:t>
                            </w:r>
                          </w:p>
                          <w:p w:rsidR="00D53C6E" w:rsidRPr="00D41EFE" w:rsidRDefault="00820BA8" w:rsidP="00BD72D0">
                            <w:pPr>
                              <w:pStyle w:val="BulletList"/>
                              <w:rPr>
                                <w:sz w:val="21"/>
                                <w:szCs w:val="21"/>
                              </w:rPr>
                            </w:pPr>
                            <w:r w:rsidRPr="00D41EFE">
                              <w:rPr>
                                <w:sz w:val="21"/>
                                <w:szCs w:val="21"/>
                              </w:rPr>
                              <w:t xml:space="preserve">The general notice of coverage continuation rights, which must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5pt;margin-top:8.3pt;width:165.75pt;height:23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" filled="f" stroked="f" strokeweight=".5pt">
                <v:textbox inset="0,,0">
                  <w:txbxContent>
                    <w:p w:rsidR="00790983" w:rsidRPr="00D41EFE" w:rsidRDefault="00820BA8" w:rsidP="008821E9">
                      <w:pPr>
                        <w:spacing w:line="252" w:lineRule="auto"/>
                        <w:rPr>
                          <w:sz w:val="21"/>
                          <w:szCs w:val="21"/>
                        </w:rPr>
                      </w:pPr>
                      <w:r w:rsidRPr="00D41EFE">
                        <w:rPr>
                          <w:sz w:val="21"/>
                          <w:szCs w:val="21"/>
                        </w:rPr>
                        <w:t xml:space="preserve">The Department of Labor (DOL) recently issued </w:t>
                      </w:r>
                      <w:hyperlink r:id="rId14" w:history="1">
                        <w:r w:rsidRPr="00D41EFE">
                          <w:rPr>
                            <w:rStyle w:val="Hyperlink"/>
                            <w:sz w:val="21"/>
                            <w:szCs w:val="21"/>
                          </w:rPr>
                          <w:t>new model notices</w:t>
                        </w:r>
                      </w:hyperlink>
                      <w:r w:rsidRPr="00D41EFE">
                        <w:rPr>
                          <w:sz w:val="21"/>
                          <w:szCs w:val="21"/>
                        </w:rPr>
                        <w:t xml:space="preserve"> for group health plan administrators to use to comply with COBRA notification requirements. </w:t>
                      </w:r>
                    </w:p>
                    <w:p w:rsidR="00872F48" w:rsidRPr="00D41EFE" w:rsidRDefault="00820BA8" w:rsidP="00D53C6E">
                      <w:pPr>
                        <w:spacing w:line="252" w:lineRule="auto"/>
                        <w:rPr>
                          <w:sz w:val="21"/>
                          <w:szCs w:val="21"/>
                        </w:rPr>
                      </w:pPr>
                      <w:r w:rsidRPr="00D41EFE">
                        <w:rPr>
                          <w:sz w:val="21"/>
                          <w:szCs w:val="21"/>
                        </w:rPr>
                        <w:t>Although plan administrators are not required to use the updated model notices, the DOL generally considers their use—with the</w:t>
                      </w:r>
                      <w:r w:rsidRPr="00D41EFE">
                        <w:rPr>
                          <w:sz w:val="21"/>
                          <w:szCs w:val="21"/>
                        </w:rPr>
                        <w:t xml:space="preserve"> addition of appropriate plan information—to be good faith compliance with COBRA’s content requirements for: </w:t>
                      </w:r>
                    </w:p>
                    <w:p w:rsidR="00D53C6E" w:rsidRPr="00D41EFE" w:rsidRDefault="00820BA8" w:rsidP="00BD72D0">
                      <w:pPr>
                        <w:pStyle w:val="BulletList"/>
                        <w:rPr>
                          <w:sz w:val="21"/>
                          <w:szCs w:val="21"/>
                        </w:rPr>
                      </w:pPr>
                      <w:r w:rsidRPr="00D41EFE">
                        <w:rPr>
                          <w:sz w:val="21"/>
                          <w:szCs w:val="21"/>
                        </w:rPr>
                        <w:t xml:space="preserve">The general notice of coverage continuation rights, which must </w:t>
                      </w:r>
                    </w:p>
                  </w:txbxContent>
                </v:textbox>
                <w10:wrap anchorx="margin"/>
              </v:shape>
            </w:pict>
          </mc:Fallback>
        </mc:AlternateContent>
      </w:r>
      <w:r w:rsidR="00CA7891">
        <w:rPr>
          <w:noProof/>
        </w:rPr>
        <mc:AlternateContent>
          <mc:Choice Requires="wps">
            <w:drawing>
              <wp:anchor distT="0" distB="0" distL="114300" distR="114300" simplePos="0" relativeHeight="251665408" behindDoc="0" locked="0" layoutInCell="1" allowOverlap="1">
                <wp:simplePos x="0" y="0"/>
                <wp:positionH relativeFrom="margin">
                  <wp:posOffset>-1905</wp:posOffset>
                </wp:positionH>
                <wp:positionV relativeFrom="paragraph">
                  <wp:posOffset>-351790</wp:posOffset>
                </wp:positionV>
                <wp:extent cx="4646295" cy="571500"/>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4646295" cy="571500"/>
                        </a:xfrm>
                        <a:prstGeom prst="rect">
                          <a:avLst/>
                        </a:prstGeom>
                        <a:noFill/>
                        <a:ln w="6350">
                          <a:noFill/>
                        </a:ln>
                      </wps:spPr>
                      <wps:txbx>
                        <w:txbxContent>
                          <w:p w:rsidR="009C336C" w:rsidRDefault="00820BA8" w:rsidP="009C336C">
                            <w:pPr>
                              <w:pStyle w:val="1Header"/>
                            </w:pPr>
                            <w:r>
                              <w:t>Updated Model COBRA Notices</w:t>
                            </w:r>
                            <w:r w:rsidR="00943F46">
                              <w:t xml:space="preserve"> Available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5pt;margin-top:-27.7pt;width:365.8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" filled="f" stroked="f" strokeweight=".5pt">
                <v:textbox inset="0,,0">
                  <w:txbxContent>
                    <w:p w:rsidR="009C336C" w:rsidRDefault="00820BA8" w:rsidP="009C336C">
                      <w:pPr>
                        <w:pStyle w:val="1Header"/>
                      </w:pPr>
                      <w:r>
                        <w:t>Updated Model COBRA Notices</w:t>
                      </w:r>
                      <w:r w:rsidR="00943F46">
                        <w:t xml:space="preserve"> Available </w:t>
                      </w:r>
                    </w:p>
                  </w:txbxContent>
                </v:textbox>
                <w10:wrap anchorx="margin"/>
              </v:shape>
            </w:pict>
          </mc:Fallback>
        </mc:AlternateContent>
      </w:r>
      <w:r w:rsidR="00123836">
        <w:rPr>
          <w:noProof/>
        </w:rPr>
        <mc:AlternateContent>
          <mc:Choice Requires="wps">
            <w:drawing>
              <wp:anchor distT="0" distB="0" distL="114300" distR="114300" simplePos="0" relativeHeight="251675648" behindDoc="0" locked="0" layoutInCell="1" allowOverlap="1">
                <wp:simplePos x="0" y="0"/>
                <wp:positionH relativeFrom="margin">
                  <wp:posOffset>-2188991</wp:posOffset>
                </wp:positionH>
                <wp:positionV relativeFrom="page">
                  <wp:posOffset>4506277</wp:posOffset>
                </wp:positionV>
                <wp:extent cx="2705100" cy="487045"/>
                <wp:effectExtent l="4127" t="14923" r="4128" b="4127"/>
                <wp:wrapNone/>
                <wp:docPr id="2" name="Text Box 2"/>
                <wp:cNvGraphicFramePr/>
                <a:graphic xmlns:a="http://schemas.openxmlformats.org/drawingml/2006/main">
                  <a:graphicData uri="http://schemas.microsoft.com/office/word/2010/wordprocessingShape">
                    <wps:wsp>
                      <wps:cNvSpPr txBox="1"/>
                      <wps:spPr>
                        <a:xfrm rot="16200000">
                          <a:off x="0" y="0"/>
                          <a:ext cx="2705100" cy="487045"/>
                        </a:xfrm>
                        <a:prstGeom prst="rect">
                          <a:avLst/>
                        </a:prstGeom>
                        <a:noFill/>
                        <a:ln w="6350">
                          <a:noFill/>
                        </a:ln>
                      </wps:spPr>
                      <wps:txbx>
                        <w:txbxContent>
                          <w:p w:rsidR="00A1062C" w:rsidRPr="00A1062C" w:rsidRDefault="00820BA8" w:rsidP="00A1062C">
                            <w:pPr>
                              <w:pStyle w:val="Header"/>
                              <w:jc w:val="center"/>
                              <w:rPr>
                                <w:b/>
                                <w:color w:val="FFFFFF" w:themeColor="background1"/>
                                <w:sz w:val="36"/>
                                <w:szCs w:val="36"/>
                              </w:rPr>
                            </w:pPr>
                            <w:hyperlink r:id="rId15" w:history="1">
                              <w:r w:rsidR="009A78C6">
                                <w:rPr>
                                  <w:b/>
                                  <w:color w:val="FFFFFF" w:themeColor="background1"/>
                                  <w:sz w:val="36"/>
                                  <w:szCs w:val="36"/>
                                </w:rPr>
                                <w:t>JUNE</w:t>
                              </w:r>
                            </w:hyperlink>
                            <w:r w:rsidRPr="00A1062C">
                              <w:rPr>
                                <w:b/>
                                <w:color w:val="FFFFFF" w:themeColor="background1"/>
                                <w:sz w:val="36"/>
                                <w:szCs w:val="36"/>
                              </w:rPr>
                              <w:t xml:space="preserve"> 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72.35pt;margin-top:354.8pt;width:213pt;height:38.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" filled="f" stroked="f" strokeweight=".5pt">
                <v:textbox inset="0,,0">
                  <w:txbxContent>
                    <w:p w:rsidR="00A1062C" w:rsidRPr="00A1062C" w:rsidRDefault="00820BA8" w:rsidP="00A1062C">
                      <w:pPr>
                        <w:pStyle w:val="Header"/>
                        <w:jc w:val="center"/>
                        <w:rPr>
                          <w:b/>
                          <w:color w:val="FFFFFF" w:themeColor="background1"/>
                          <w:sz w:val="36"/>
                          <w:szCs w:val="36"/>
                        </w:rPr>
                      </w:pPr>
                      <w:hyperlink r:id="rId16" w:history="1">
                        <w:r w:rsidR="009A78C6">
                          <w:rPr>
                            <w:b/>
                            <w:color w:val="FFFFFF" w:themeColor="background1"/>
                            <w:sz w:val="36"/>
                            <w:szCs w:val="36"/>
                          </w:rPr>
                          <w:t>JUNE</w:t>
                        </w:r>
                      </w:hyperlink>
                      <w:r w:rsidRPr="00A1062C">
                        <w:rPr>
                          <w:b/>
                          <w:color w:val="FFFFFF" w:themeColor="background1"/>
                          <w:sz w:val="36"/>
                          <w:szCs w:val="36"/>
                        </w:rPr>
                        <w:t xml:space="preserve"> 2020</w:t>
                      </w:r>
                    </w:p>
                  </w:txbxContent>
                </v:textbox>
                <w10:wrap anchorx="margin" anchory="page"/>
              </v:shape>
            </w:pict>
          </mc:Fallback>
        </mc:AlternateContent>
      </w:r>
      <w:r w:rsidR="000A22E5" w:rsidRPr="008D08A1">
        <w:rPr>
          <w:noProof/>
        </w:rPr>
        <mc:AlternateContent>
          <mc:Choice Requires="wps">
            <w:drawing>
              <wp:anchor distT="0" distB="0" distL="114300" distR="114300" simplePos="0" relativeHeight="251661312" behindDoc="1" locked="0" layoutInCell="1" allowOverlap="1">
                <wp:simplePos x="0" y="0"/>
                <wp:positionH relativeFrom="leftMargin">
                  <wp:posOffset>258283</wp:posOffset>
                </wp:positionH>
                <wp:positionV relativeFrom="page">
                  <wp:posOffset>9645015</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0A22E5" w:rsidRPr="000A22E5" w:rsidRDefault="00820BA8"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20.35pt;margin-top:759.45pt;width:163.1pt;height:16.5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" filled="f" stroked="f" strokeweight=".5pt">
                <v:textbox>
                  <w:txbxContent>
                    <w:p w:rsidR="000A22E5" w:rsidRPr="000A22E5" w:rsidRDefault="00820BA8"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v:textbox>
                <w10:wrap anchorx="margin" anchory="page"/>
              </v:shape>
            </w:pict>
          </mc:Fallback>
        </mc:AlternateContent>
      </w:r>
    </w:p>
    <w:sectPr w:rsidR="0096300C" w:rsidRPr="00D001DF" w:rsidSect="006B7630">
      <w:headerReference w:type="default" r:id="rId17"/>
      <w:type w:val="continuous"/>
      <w:pgSz w:w="12240" w:h="15840"/>
      <w:pgMar w:top="432" w:right="720" w:bottom="1440" w:left="4608"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20BA8">
      <w:pPr>
        <w:spacing w:after="0" w:line="240" w:lineRule="auto"/>
      </w:pPr>
      <w:r>
        <w:separator/>
      </w:r>
    </w:p>
  </w:endnote>
  <w:endnote w:type="continuationSeparator" w:id="0">
    <w:p w:rsidR="00000000" w:rsidRDefault="0082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20BA8">
      <w:pPr>
        <w:spacing w:after="0" w:line="240" w:lineRule="auto"/>
      </w:pPr>
      <w:r>
        <w:separator/>
      </w:r>
    </w:p>
  </w:footnote>
  <w:footnote w:type="continuationSeparator" w:id="0">
    <w:p w:rsidR="00000000" w:rsidRDefault="00820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E14" w:rsidRDefault="00820BA8">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3550"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5C10"/>
    <w:multiLevelType w:val="hybridMultilevel"/>
    <w:tmpl w:val="3B3837E6"/>
    <w:lvl w:ilvl="0" w:tplc="B6101890">
      <w:start w:val="1"/>
      <w:numFmt w:val="bullet"/>
      <w:lvlText w:val=""/>
      <w:lvlJc w:val="left"/>
      <w:pPr>
        <w:ind w:left="720" w:hanging="360"/>
      </w:pPr>
      <w:rPr>
        <w:rFonts w:ascii="Symbol" w:hAnsi="Symbol" w:hint="default"/>
      </w:rPr>
    </w:lvl>
    <w:lvl w:ilvl="1" w:tplc="B770C57C" w:tentative="1">
      <w:start w:val="1"/>
      <w:numFmt w:val="bullet"/>
      <w:lvlText w:val="o"/>
      <w:lvlJc w:val="left"/>
      <w:pPr>
        <w:ind w:left="1440" w:hanging="360"/>
      </w:pPr>
      <w:rPr>
        <w:rFonts w:ascii="Courier New" w:hAnsi="Courier New" w:cs="Courier New" w:hint="default"/>
      </w:rPr>
    </w:lvl>
    <w:lvl w:ilvl="2" w:tplc="B89244B0" w:tentative="1">
      <w:start w:val="1"/>
      <w:numFmt w:val="bullet"/>
      <w:lvlText w:val=""/>
      <w:lvlJc w:val="left"/>
      <w:pPr>
        <w:ind w:left="2160" w:hanging="360"/>
      </w:pPr>
      <w:rPr>
        <w:rFonts w:ascii="Wingdings" w:hAnsi="Wingdings" w:hint="default"/>
      </w:rPr>
    </w:lvl>
    <w:lvl w:ilvl="3" w:tplc="736088F6" w:tentative="1">
      <w:start w:val="1"/>
      <w:numFmt w:val="bullet"/>
      <w:lvlText w:val=""/>
      <w:lvlJc w:val="left"/>
      <w:pPr>
        <w:ind w:left="2880" w:hanging="360"/>
      </w:pPr>
      <w:rPr>
        <w:rFonts w:ascii="Symbol" w:hAnsi="Symbol" w:hint="default"/>
      </w:rPr>
    </w:lvl>
    <w:lvl w:ilvl="4" w:tplc="A78C3FAC" w:tentative="1">
      <w:start w:val="1"/>
      <w:numFmt w:val="bullet"/>
      <w:lvlText w:val="o"/>
      <w:lvlJc w:val="left"/>
      <w:pPr>
        <w:ind w:left="3600" w:hanging="360"/>
      </w:pPr>
      <w:rPr>
        <w:rFonts w:ascii="Courier New" w:hAnsi="Courier New" w:cs="Courier New" w:hint="default"/>
      </w:rPr>
    </w:lvl>
    <w:lvl w:ilvl="5" w:tplc="3A0C4A22" w:tentative="1">
      <w:start w:val="1"/>
      <w:numFmt w:val="bullet"/>
      <w:lvlText w:val=""/>
      <w:lvlJc w:val="left"/>
      <w:pPr>
        <w:ind w:left="4320" w:hanging="360"/>
      </w:pPr>
      <w:rPr>
        <w:rFonts w:ascii="Wingdings" w:hAnsi="Wingdings" w:hint="default"/>
      </w:rPr>
    </w:lvl>
    <w:lvl w:ilvl="6" w:tplc="6882A0C2" w:tentative="1">
      <w:start w:val="1"/>
      <w:numFmt w:val="bullet"/>
      <w:lvlText w:val=""/>
      <w:lvlJc w:val="left"/>
      <w:pPr>
        <w:ind w:left="5040" w:hanging="360"/>
      </w:pPr>
      <w:rPr>
        <w:rFonts w:ascii="Symbol" w:hAnsi="Symbol" w:hint="default"/>
      </w:rPr>
    </w:lvl>
    <w:lvl w:ilvl="7" w:tplc="BBC4DBFE" w:tentative="1">
      <w:start w:val="1"/>
      <w:numFmt w:val="bullet"/>
      <w:lvlText w:val="o"/>
      <w:lvlJc w:val="left"/>
      <w:pPr>
        <w:ind w:left="5760" w:hanging="360"/>
      </w:pPr>
      <w:rPr>
        <w:rFonts w:ascii="Courier New" w:hAnsi="Courier New" w:cs="Courier New" w:hint="default"/>
      </w:rPr>
    </w:lvl>
    <w:lvl w:ilvl="8" w:tplc="3E409ADC" w:tentative="1">
      <w:start w:val="1"/>
      <w:numFmt w:val="bullet"/>
      <w:lvlText w:val=""/>
      <w:lvlJc w:val="left"/>
      <w:pPr>
        <w:ind w:left="6480" w:hanging="360"/>
      </w:pPr>
      <w:rPr>
        <w:rFonts w:ascii="Wingdings" w:hAnsi="Wingdings" w:hint="default"/>
      </w:rPr>
    </w:lvl>
  </w:abstractNum>
  <w:abstractNum w:abstractNumId="1" w15:restartNumberingAfterBreak="0">
    <w:nsid w:val="02F64378"/>
    <w:multiLevelType w:val="hybridMultilevel"/>
    <w:tmpl w:val="4A6CA8A0"/>
    <w:lvl w:ilvl="0" w:tplc="9F40C4CA">
      <w:start w:val="1"/>
      <w:numFmt w:val="bullet"/>
      <w:lvlText w:val=""/>
      <w:lvlJc w:val="left"/>
      <w:pPr>
        <w:ind w:left="720" w:hanging="360"/>
      </w:pPr>
      <w:rPr>
        <w:rFonts w:ascii="Symbol" w:hAnsi="Symbol" w:hint="default"/>
      </w:rPr>
    </w:lvl>
    <w:lvl w:ilvl="1" w:tplc="369A438C" w:tentative="1">
      <w:start w:val="1"/>
      <w:numFmt w:val="bullet"/>
      <w:lvlText w:val="o"/>
      <w:lvlJc w:val="left"/>
      <w:pPr>
        <w:ind w:left="1440" w:hanging="360"/>
      </w:pPr>
      <w:rPr>
        <w:rFonts w:ascii="Courier New" w:hAnsi="Courier New" w:cs="Courier New" w:hint="default"/>
      </w:rPr>
    </w:lvl>
    <w:lvl w:ilvl="2" w:tplc="B54226C6" w:tentative="1">
      <w:start w:val="1"/>
      <w:numFmt w:val="bullet"/>
      <w:lvlText w:val=""/>
      <w:lvlJc w:val="left"/>
      <w:pPr>
        <w:ind w:left="2160" w:hanging="360"/>
      </w:pPr>
      <w:rPr>
        <w:rFonts w:ascii="Wingdings" w:hAnsi="Wingdings" w:hint="default"/>
      </w:rPr>
    </w:lvl>
    <w:lvl w:ilvl="3" w:tplc="D3A2A204" w:tentative="1">
      <w:start w:val="1"/>
      <w:numFmt w:val="bullet"/>
      <w:lvlText w:val=""/>
      <w:lvlJc w:val="left"/>
      <w:pPr>
        <w:ind w:left="2880" w:hanging="360"/>
      </w:pPr>
      <w:rPr>
        <w:rFonts w:ascii="Symbol" w:hAnsi="Symbol" w:hint="default"/>
      </w:rPr>
    </w:lvl>
    <w:lvl w:ilvl="4" w:tplc="F96EB93E" w:tentative="1">
      <w:start w:val="1"/>
      <w:numFmt w:val="bullet"/>
      <w:lvlText w:val="o"/>
      <w:lvlJc w:val="left"/>
      <w:pPr>
        <w:ind w:left="3600" w:hanging="360"/>
      </w:pPr>
      <w:rPr>
        <w:rFonts w:ascii="Courier New" w:hAnsi="Courier New" w:cs="Courier New" w:hint="default"/>
      </w:rPr>
    </w:lvl>
    <w:lvl w:ilvl="5" w:tplc="0BCE19C6" w:tentative="1">
      <w:start w:val="1"/>
      <w:numFmt w:val="bullet"/>
      <w:lvlText w:val=""/>
      <w:lvlJc w:val="left"/>
      <w:pPr>
        <w:ind w:left="4320" w:hanging="360"/>
      </w:pPr>
      <w:rPr>
        <w:rFonts w:ascii="Wingdings" w:hAnsi="Wingdings" w:hint="default"/>
      </w:rPr>
    </w:lvl>
    <w:lvl w:ilvl="6" w:tplc="45D46416" w:tentative="1">
      <w:start w:val="1"/>
      <w:numFmt w:val="bullet"/>
      <w:lvlText w:val=""/>
      <w:lvlJc w:val="left"/>
      <w:pPr>
        <w:ind w:left="5040" w:hanging="360"/>
      </w:pPr>
      <w:rPr>
        <w:rFonts w:ascii="Symbol" w:hAnsi="Symbol" w:hint="default"/>
      </w:rPr>
    </w:lvl>
    <w:lvl w:ilvl="7" w:tplc="227083FE" w:tentative="1">
      <w:start w:val="1"/>
      <w:numFmt w:val="bullet"/>
      <w:lvlText w:val="o"/>
      <w:lvlJc w:val="left"/>
      <w:pPr>
        <w:ind w:left="5760" w:hanging="360"/>
      </w:pPr>
      <w:rPr>
        <w:rFonts w:ascii="Courier New" w:hAnsi="Courier New" w:cs="Courier New" w:hint="default"/>
      </w:rPr>
    </w:lvl>
    <w:lvl w:ilvl="8" w:tplc="14347E8E" w:tentative="1">
      <w:start w:val="1"/>
      <w:numFmt w:val="bullet"/>
      <w:lvlText w:val=""/>
      <w:lvlJc w:val="left"/>
      <w:pPr>
        <w:ind w:left="6480" w:hanging="360"/>
      </w:pPr>
      <w:rPr>
        <w:rFonts w:ascii="Wingdings" w:hAnsi="Wingdings" w:hint="default"/>
      </w:rPr>
    </w:lvl>
  </w:abstractNum>
  <w:abstractNum w:abstractNumId="2" w15:restartNumberingAfterBreak="0">
    <w:nsid w:val="1C9531B8"/>
    <w:multiLevelType w:val="hybridMultilevel"/>
    <w:tmpl w:val="2FBCC732"/>
    <w:lvl w:ilvl="0" w:tplc="2FEE164C">
      <w:start w:val="1"/>
      <w:numFmt w:val="bullet"/>
      <w:lvlText w:val=""/>
      <w:lvlJc w:val="left"/>
      <w:pPr>
        <w:ind w:left="720" w:hanging="360"/>
      </w:pPr>
      <w:rPr>
        <w:rFonts w:ascii="Symbol" w:hAnsi="Symbol" w:hint="default"/>
      </w:rPr>
    </w:lvl>
    <w:lvl w:ilvl="1" w:tplc="C2B2BC52" w:tentative="1">
      <w:start w:val="1"/>
      <w:numFmt w:val="bullet"/>
      <w:lvlText w:val="o"/>
      <w:lvlJc w:val="left"/>
      <w:pPr>
        <w:ind w:left="1440" w:hanging="360"/>
      </w:pPr>
      <w:rPr>
        <w:rFonts w:ascii="Courier New" w:hAnsi="Courier New" w:cs="Courier New" w:hint="default"/>
      </w:rPr>
    </w:lvl>
    <w:lvl w:ilvl="2" w:tplc="41CED36C" w:tentative="1">
      <w:start w:val="1"/>
      <w:numFmt w:val="bullet"/>
      <w:lvlText w:val=""/>
      <w:lvlJc w:val="left"/>
      <w:pPr>
        <w:ind w:left="2160" w:hanging="360"/>
      </w:pPr>
      <w:rPr>
        <w:rFonts w:ascii="Wingdings" w:hAnsi="Wingdings" w:hint="default"/>
      </w:rPr>
    </w:lvl>
    <w:lvl w:ilvl="3" w:tplc="8BDAAD44" w:tentative="1">
      <w:start w:val="1"/>
      <w:numFmt w:val="bullet"/>
      <w:lvlText w:val=""/>
      <w:lvlJc w:val="left"/>
      <w:pPr>
        <w:ind w:left="2880" w:hanging="360"/>
      </w:pPr>
      <w:rPr>
        <w:rFonts w:ascii="Symbol" w:hAnsi="Symbol" w:hint="default"/>
      </w:rPr>
    </w:lvl>
    <w:lvl w:ilvl="4" w:tplc="9AC608A0" w:tentative="1">
      <w:start w:val="1"/>
      <w:numFmt w:val="bullet"/>
      <w:lvlText w:val="o"/>
      <w:lvlJc w:val="left"/>
      <w:pPr>
        <w:ind w:left="3600" w:hanging="360"/>
      </w:pPr>
      <w:rPr>
        <w:rFonts w:ascii="Courier New" w:hAnsi="Courier New" w:cs="Courier New" w:hint="default"/>
      </w:rPr>
    </w:lvl>
    <w:lvl w:ilvl="5" w:tplc="4D2E3234" w:tentative="1">
      <w:start w:val="1"/>
      <w:numFmt w:val="bullet"/>
      <w:lvlText w:val=""/>
      <w:lvlJc w:val="left"/>
      <w:pPr>
        <w:ind w:left="4320" w:hanging="360"/>
      </w:pPr>
      <w:rPr>
        <w:rFonts w:ascii="Wingdings" w:hAnsi="Wingdings" w:hint="default"/>
      </w:rPr>
    </w:lvl>
    <w:lvl w:ilvl="6" w:tplc="5B8C6824" w:tentative="1">
      <w:start w:val="1"/>
      <w:numFmt w:val="bullet"/>
      <w:lvlText w:val=""/>
      <w:lvlJc w:val="left"/>
      <w:pPr>
        <w:ind w:left="5040" w:hanging="360"/>
      </w:pPr>
      <w:rPr>
        <w:rFonts w:ascii="Symbol" w:hAnsi="Symbol" w:hint="default"/>
      </w:rPr>
    </w:lvl>
    <w:lvl w:ilvl="7" w:tplc="A812486A" w:tentative="1">
      <w:start w:val="1"/>
      <w:numFmt w:val="bullet"/>
      <w:lvlText w:val="o"/>
      <w:lvlJc w:val="left"/>
      <w:pPr>
        <w:ind w:left="5760" w:hanging="360"/>
      </w:pPr>
      <w:rPr>
        <w:rFonts w:ascii="Courier New" w:hAnsi="Courier New" w:cs="Courier New" w:hint="default"/>
      </w:rPr>
    </w:lvl>
    <w:lvl w:ilvl="8" w:tplc="7EDEA2F0" w:tentative="1">
      <w:start w:val="1"/>
      <w:numFmt w:val="bullet"/>
      <w:lvlText w:val=""/>
      <w:lvlJc w:val="left"/>
      <w:pPr>
        <w:ind w:left="6480" w:hanging="360"/>
      </w:pPr>
      <w:rPr>
        <w:rFonts w:ascii="Wingdings" w:hAnsi="Wingdings" w:hint="default"/>
      </w:rPr>
    </w:lvl>
  </w:abstractNum>
  <w:abstractNum w:abstractNumId="3" w15:restartNumberingAfterBreak="0">
    <w:nsid w:val="1DC95092"/>
    <w:multiLevelType w:val="hybridMultilevel"/>
    <w:tmpl w:val="8F4CFAF2"/>
    <w:lvl w:ilvl="0" w:tplc="4036E03C">
      <w:start w:val="1"/>
      <w:numFmt w:val="bullet"/>
      <w:pStyle w:val="BulletList"/>
      <w:lvlText w:val=""/>
      <w:lvlJc w:val="left"/>
      <w:pPr>
        <w:ind w:left="720" w:hanging="360"/>
      </w:pPr>
      <w:rPr>
        <w:rFonts w:ascii="Symbol" w:hAnsi="Symbol" w:hint="default"/>
      </w:rPr>
    </w:lvl>
    <w:lvl w:ilvl="1" w:tplc="E3CE107C" w:tentative="1">
      <w:start w:val="1"/>
      <w:numFmt w:val="bullet"/>
      <w:lvlText w:val="o"/>
      <w:lvlJc w:val="left"/>
      <w:pPr>
        <w:ind w:left="1440" w:hanging="360"/>
      </w:pPr>
      <w:rPr>
        <w:rFonts w:ascii="Courier New" w:hAnsi="Courier New" w:cs="Courier New" w:hint="default"/>
      </w:rPr>
    </w:lvl>
    <w:lvl w:ilvl="2" w:tplc="A6C0C5C8" w:tentative="1">
      <w:start w:val="1"/>
      <w:numFmt w:val="bullet"/>
      <w:lvlText w:val=""/>
      <w:lvlJc w:val="left"/>
      <w:pPr>
        <w:ind w:left="2160" w:hanging="360"/>
      </w:pPr>
      <w:rPr>
        <w:rFonts w:ascii="Wingdings" w:hAnsi="Wingdings" w:hint="default"/>
      </w:rPr>
    </w:lvl>
    <w:lvl w:ilvl="3" w:tplc="43DA75DE" w:tentative="1">
      <w:start w:val="1"/>
      <w:numFmt w:val="bullet"/>
      <w:lvlText w:val=""/>
      <w:lvlJc w:val="left"/>
      <w:pPr>
        <w:ind w:left="2880" w:hanging="360"/>
      </w:pPr>
      <w:rPr>
        <w:rFonts w:ascii="Symbol" w:hAnsi="Symbol" w:hint="default"/>
      </w:rPr>
    </w:lvl>
    <w:lvl w:ilvl="4" w:tplc="3CE0DCA2" w:tentative="1">
      <w:start w:val="1"/>
      <w:numFmt w:val="bullet"/>
      <w:lvlText w:val="o"/>
      <w:lvlJc w:val="left"/>
      <w:pPr>
        <w:ind w:left="3600" w:hanging="360"/>
      </w:pPr>
      <w:rPr>
        <w:rFonts w:ascii="Courier New" w:hAnsi="Courier New" w:cs="Courier New" w:hint="default"/>
      </w:rPr>
    </w:lvl>
    <w:lvl w:ilvl="5" w:tplc="E166C6DE" w:tentative="1">
      <w:start w:val="1"/>
      <w:numFmt w:val="bullet"/>
      <w:lvlText w:val=""/>
      <w:lvlJc w:val="left"/>
      <w:pPr>
        <w:ind w:left="4320" w:hanging="360"/>
      </w:pPr>
      <w:rPr>
        <w:rFonts w:ascii="Wingdings" w:hAnsi="Wingdings" w:hint="default"/>
      </w:rPr>
    </w:lvl>
    <w:lvl w:ilvl="6" w:tplc="BB0EAE8E" w:tentative="1">
      <w:start w:val="1"/>
      <w:numFmt w:val="bullet"/>
      <w:lvlText w:val=""/>
      <w:lvlJc w:val="left"/>
      <w:pPr>
        <w:ind w:left="5040" w:hanging="360"/>
      </w:pPr>
      <w:rPr>
        <w:rFonts w:ascii="Symbol" w:hAnsi="Symbol" w:hint="default"/>
      </w:rPr>
    </w:lvl>
    <w:lvl w:ilvl="7" w:tplc="FE6E835C" w:tentative="1">
      <w:start w:val="1"/>
      <w:numFmt w:val="bullet"/>
      <w:lvlText w:val="o"/>
      <w:lvlJc w:val="left"/>
      <w:pPr>
        <w:ind w:left="5760" w:hanging="360"/>
      </w:pPr>
      <w:rPr>
        <w:rFonts w:ascii="Courier New" w:hAnsi="Courier New" w:cs="Courier New" w:hint="default"/>
      </w:rPr>
    </w:lvl>
    <w:lvl w:ilvl="8" w:tplc="DA30F71C" w:tentative="1">
      <w:start w:val="1"/>
      <w:numFmt w:val="bullet"/>
      <w:lvlText w:val=""/>
      <w:lvlJc w:val="left"/>
      <w:pPr>
        <w:ind w:left="6480" w:hanging="360"/>
      </w:pPr>
      <w:rPr>
        <w:rFonts w:ascii="Wingdings" w:hAnsi="Wingdings" w:hint="default"/>
      </w:rPr>
    </w:lvl>
  </w:abstractNum>
  <w:abstractNum w:abstractNumId="4" w15:restartNumberingAfterBreak="0">
    <w:nsid w:val="21D634D5"/>
    <w:multiLevelType w:val="hybridMultilevel"/>
    <w:tmpl w:val="27D69602"/>
    <w:lvl w:ilvl="0" w:tplc="ABE60C7E">
      <w:start w:val="1"/>
      <w:numFmt w:val="bullet"/>
      <w:lvlText w:val=""/>
      <w:lvlJc w:val="left"/>
      <w:pPr>
        <w:ind w:left="720" w:hanging="360"/>
      </w:pPr>
      <w:rPr>
        <w:rFonts w:ascii="Symbol" w:hAnsi="Symbol" w:hint="default"/>
      </w:rPr>
    </w:lvl>
    <w:lvl w:ilvl="1" w:tplc="A7C4BA1A" w:tentative="1">
      <w:start w:val="1"/>
      <w:numFmt w:val="bullet"/>
      <w:lvlText w:val="o"/>
      <w:lvlJc w:val="left"/>
      <w:pPr>
        <w:ind w:left="1440" w:hanging="360"/>
      </w:pPr>
      <w:rPr>
        <w:rFonts w:ascii="Courier New" w:hAnsi="Courier New" w:cs="Courier New" w:hint="default"/>
      </w:rPr>
    </w:lvl>
    <w:lvl w:ilvl="2" w:tplc="2EF83786" w:tentative="1">
      <w:start w:val="1"/>
      <w:numFmt w:val="bullet"/>
      <w:lvlText w:val=""/>
      <w:lvlJc w:val="left"/>
      <w:pPr>
        <w:ind w:left="2160" w:hanging="360"/>
      </w:pPr>
      <w:rPr>
        <w:rFonts w:ascii="Wingdings" w:hAnsi="Wingdings" w:hint="default"/>
      </w:rPr>
    </w:lvl>
    <w:lvl w:ilvl="3" w:tplc="779E7664" w:tentative="1">
      <w:start w:val="1"/>
      <w:numFmt w:val="bullet"/>
      <w:lvlText w:val=""/>
      <w:lvlJc w:val="left"/>
      <w:pPr>
        <w:ind w:left="2880" w:hanging="360"/>
      </w:pPr>
      <w:rPr>
        <w:rFonts w:ascii="Symbol" w:hAnsi="Symbol" w:hint="default"/>
      </w:rPr>
    </w:lvl>
    <w:lvl w:ilvl="4" w:tplc="5470D9E8" w:tentative="1">
      <w:start w:val="1"/>
      <w:numFmt w:val="bullet"/>
      <w:lvlText w:val="o"/>
      <w:lvlJc w:val="left"/>
      <w:pPr>
        <w:ind w:left="3600" w:hanging="360"/>
      </w:pPr>
      <w:rPr>
        <w:rFonts w:ascii="Courier New" w:hAnsi="Courier New" w:cs="Courier New" w:hint="default"/>
      </w:rPr>
    </w:lvl>
    <w:lvl w:ilvl="5" w:tplc="1B3E7C50" w:tentative="1">
      <w:start w:val="1"/>
      <w:numFmt w:val="bullet"/>
      <w:lvlText w:val=""/>
      <w:lvlJc w:val="left"/>
      <w:pPr>
        <w:ind w:left="4320" w:hanging="360"/>
      </w:pPr>
      <w:rPr>
        <w:rFonts w:ascii="Wingdings" w:hAnsi="Wingdings" w:hint="default"/>
      </w:rPr>
    </w:lvl>
    <w:lvl w:ilvl="6" w:tplc="9118CE68" w:tentative="1">
      <w:start w:val="1"/>
      <w:numFmt w:val="bullet"/>
      <w:lvlText w:val=""/>
      <w:lvlJc w:val="left"/>
      <w:pPr>
        <w:ind w:left="5040" w:hanging="360"/>
      </w:pPr>
      <w:rPr>
        <w:rFonts w:ascii="Symbol" w:hAnsi="Symbol" w:hint="default"/>
      </w:rPr>
    </w:lvl>
    <w:lvl w:ilvl="7" w:tplc="E466BC40" w:tentative="1">
      <w:start w:val="1"/>
      <w:numFmt w:val="bullet"/>
      <w:lvlText w:val="o"/>
      <w:lvlJc w:val="left"/>
      <w:pPr>
        <w:ind w:left="5760" w:hanging="360"/>
      </w:pPr>
      <w:rPr>
        <w:rFonts w:ascii="Courier New" w:hAnsi="Courier New" w:cs="Courier New" w:hint="default"/>
      </w:rPr>
    </w:lvl>
    <w:lvl w:ilvl="8" w:tplc="8C622FE6" w:tentative="1">
      <w:start w:val="1"/>
      <w:numFmt w:val="bullet"/>
      <w:lvlText w:val=""/>
      <w:lvlJc w:val="left"/>
      <w:pPr>
        <w:ind w:left="6480" w:hanging="360"/>
      </w:pPr>
      <w:rPr>
        <w:rFonts w:ascii="Wingdings" w:hAnsi="Wingdings" w:hint="default"/>
      </w:rPr>
    </w:lvl>
  </w:abstractNum>
  <w:abstractNum w:abstractNumId="5" w15:restartNumberingAfterBreak="0">
    <w:nsid w:val="22D325C5"/>
    <w:multiLevelType w:val="hybridMultilevel"/>
    <w:tmpl w:val="012433AA"/>
    <w:lvl w:ilvl="0" w:tplc="6CE4C0C0">
      <w:start w:val="1"/>
      <w:numFmt w:val="decimal"/>
      <w:lvlText w:val="%1."/>
      <w:lvlJc w:val="left"/>
      <w:pPr>
        <w:ind w:left="720" w:hanging="360"/>
      </w:pPr>
      <w:rPr>
        <w:b w:val="0"/>
      </w:rPr>
    </w:lvl>
    <w:lvl w:ilvl="1" w:tplc="360A6ACC" w:tentative="1">
      <w:start w:val="1"/>
      <w:numFmt w:val="lowerLetter"/>
      <w:lvlText w:val="%2."/>
      <w:lvlJc w:val="left"/>
      <w:pPr>
        <w:ind w:left="1440" w:hanging="360"/>
      </w:pPr>
    </w:lvl>
    <w:lvl w:ilvl="2" w:tplc="85D6E632" w:tentative="1">
      <w:start w:val="1"/>
      <w:numFmt w:val="lowerRoman"/>
      <w:lvlText w:val="%3."/>
      <w:lvlJc w:val="right"/>
      <w:pPr>
        <w:ind w:left="2160" w:hanging="180"/>
      </w:pPr>
    </w:lvl>
    <w:lvl w:ilvl="3" w:tplc="94D8BC56" w:tentative="1">
      <w:start w:val="1"/>
      <w:numFmt w:val="decimal"/>
      <w:lvlText w:val="%4."/>
      <w:lvlJc w:val="left"/>
      <w:pPr>
        <w:ind w:left="2880" w:hanging="360"/>
      </w:pPr>
    </w:lvl>
    <w:lvl w:ilvl="4" w:tplc="CCC676EC" w:tentative="1">
      <w:start w:val="1"/>
      <w:numFmt w:val="lowerLetter"/>
      <w:lvlText w:val="%5."/>
      <w:lvlJc w:val="left"/>
      <w:pPr>
        <w:ind w:left="3600" w:hanging="360"/>
      </w:pPr>
    </w:lvl>
    <w:lvl w:ilvl="5" w:tplc="D6D0829C" w:tentative="1">
      <w:start w:val="1"/>
      <w:numFmt w:val="lowerRoman"/>
      <w:lvlText w:val="%6."/>
      <w:lvlJc w:val="right"/>
      <w:pPr>
        <w:ind w:left="4320" w:hanging="180"/>
      </w:pPr>
    </w:lvl>
    <w:lvl w:ilvl="6" w:tplc="F8DA7E14" w:tentative="1">
      <w:start w:val="1"/>
      <w:numFmt w:val="decimal"/>
      <w:lvlText w:val="%7."/>
      <w:lvlJc w:val="left"/>
      <w:pPr>
        <w:ind w:left="5040" w:hanging="360"/>
      </w:pPr>
    </w:lvl>
    <w:lvl w:ilvl="7" w:tplc="2340B066" w:tentative="1">
      <w:start w:val="1"/>
      <w:numFmt w:val="lowerLetter"/>
      <w:lvlText w:val="%8."/>
      <w:lvlJc w:val="left"/>
      <w:pPr>
        <w:ind w:left="5760" w:hanging="360"/>
      </w:pPr>
    </w:lvl>
    <w:lvl w:ilvl="8" w:tplc="DBC4A194" w:tentative="1">
      <w:start w:val="1"/>
      <w:numFmt w:val="lowerRoman"/>
      <w:lvlText w:val="%9."/>
      <w:lvlJc w:val="right"/>
      <w:pPr>
        <w:ind w:left="6480" w:hanging="180"/>
      </w:pPr>
    </w:lvl>
  </w:abstractNum>
  <w:abstractNum w:abstractNumId="6" w15:restartNumberingAfterBreak="0">
    <w:nsid w:val="2D0C5AEA"/>
    <w:multiLevelType w:val="hybridMultilevel"/>
    <w:tmpl w:val="A56810E2"/>
    <w:lvl w:ilvl="0" w:tplc="085C2E96">
      <w:start w:val="1"/>
      <w:numFmt w:val="decimal"/>
      <w:pStyle w:val="NumberedList"/>
      <w:lvlText w:val="%1."/>
      <w:lvlJc w:val="left"/>
      <w:pPr>
        <w:ind w:left="810" w:hanging="360"/>
      </w:pPr>
      <w:rPr>
        <w:rFonts w:hint="default"/>
        <w:b/>
        <w:i w:val="0"/>
      </w:rPr>
    </w:lvl>
    <w:lvl w:ilvl="1" w:tplc="976EC582" w:tentative="1">
      <w:start w:val="1"/>
      <w:numFmt w:val="lowerLetter"/>
      <w:lvlText w:val="%2."/>
      <w:lvlJc w:val="left"/>
      <w:pPr>
        <w:ind w:left="1530" w:hanging="360"/>
      </w:pPr>
    </w:lvl>
    <w:lvl w:ilvl="2" w:tplc="9A44A12E" w:tentative="1">
      <w:start w:val="1"/>
      <w:numFmt w:val="lowerRoman"/>
      <w:lvlText w:val="%3."/>
      <w:lvlJc w:val="right"/>
      <w:pPr>
        <w:ind w:left="2250" w:hanging="180"/>
      </w:pPr>
    </w:lvl>
    <w:lvl w:ilvl="3" w:tplc="DF42A418" w:tentative="1">
      <w:start w:val="1"/>
      <w:numFmt w:val="decimal"/>
      <w:lvlText w:val="%4."/>
      <w:lvlJc w:val="left"/>
      <w:pPr>
        <w:ind w:left="2970" w:hanging="360"/>
      </w:pPr>
    </w:lvl>
    <w:lvl w:ilvl="4" w:tplc="A3E66130" w:tentative="1">
      <w:start w:val="1"/>
      <w:numFmt w:val="lowerLetter"/>
      <w:lvlText w:val="%5."/>
      <w:lvlJc w:val="left"/>
      <w:pPr>
        <w:ind w:left="3690" w:hanging="360"/>
      </w:pPr>
    </w:lvl>
    <w:lvl w:ilvl="5" w:tplc="06009844" w:tentative="1">
      <w:start w:val="1"/>
      <w:numFmt w:val="lowerRoman"/>
      <w:lvlText w:val="%6."/>
      <w:lvlJc w:val="right"/>
      <w:pPr>
        <w:ind w:left="4410" w:hanging="180"/>
      </w:pPr>
    </w:lvl>
    <w:lvl w:ilvl="6" w:tplc="0A0A5FC6" w:tentative="1">
      <w:start w:val="1"/>
      <w:numFmt w:val="decimal"/>
      <w:lvlText w:val="%7."/>
      <w:lvlJc w:val="left"/>
      <w:pPr>
        <w:ind w:left="5130" w:hanging="360"/>
      </w:pPr>
    </w:lvl>
    <w:lvl w:ilvl="7" w:tplc="B284208A" w:tentative="1">
      <w:start w:val="1"/>
      <w:numFmt w:val="lowerLetter"/>
      <w:lvlText w:val="%8."/>
      <w:lvlJc w:val="left"/>
      <w:pPr>
        <w:ind w:left="5850" w:hanging="360"/>
      </w:pPr>
    </w:lvl>
    <w:lvl w:ilvl="8" w:tplc="C5E4586C" w:tentative="1">
      <w:start w:val="1"/>
      <w:numFmt w:val="lowerRoman"/>
      <w:lvlText w:val="%9."/>
      <w:lvlJc w:val="right"/>
      <w:pPr>
        <w:ind w:left="6570" w:hanging="180"/>
      </w:pPr>
    </w:lvl>
  </w:abstractNum>
  <w:abstractNum w:abstractNumId="7" w15:restartNumberingAfterBreak="0">
    <w:nsid w:val="2DA3032E"/>
    <w:multiLevelType w:val="hybridMultilevel"/>
    <w:tmpl w:val="4E4042D4"/>
    <w:lvl w:ilvl="0" w:tplc="7B980BB6">
      <w:start w:val="1"/>
      <w:numFmt w:val="bullet"/>
      <w:lvlText w:val=""/>
      <w:lvlJc w:val="left"/>
      <w:pPr>
        <w:ind w:left="720" w:hanging="360"/>
      </w:pPr>
      <w:rPr>
        <w:rFonts w:ascii="Symbol" w:hAnsi="Symbol" w:hint="default"/>
      </w:rPr>
    </w:lvl>
    <w:lvl w:ilvl="1" w:tplc="C4EC2BB8" w:tentative="1">
      <w:start w:val="1"/>
      <w:numFmt w:val="bullet"/>
      <w:lvlText w:val="o"/>
      <w:lvlJc w:val="left"/>
      <w:pPr>
        <w:ind w:left="1440" w:hanging="360"/>
      </w:pPr>
      <w:rPr>
        <w:rFonts w:ascii="Courier New" w:hAnsi="Courier New" w:cs="Courier New" w:hint="default"/>
      </w:rPr>
    </w:lvl>
    <w:lvl w:ilvl="2" w:tplc="9DBA6F70" w:tentative="1">
      <w:start w:val="1"/>
      <w:numFmt w:val="bullet"/>
      <w:lvlText w:val=""/>
      <w:lvlJc w:val="left"/>
      <w:pPr>
        <w:ind w:left="2160" w:hanging="360"/>
      </w:pPr>
      <w:rPr>
        <w:rFonts w:ascii="Wingdings" w:hAnsi="Wingdings" w:hint="default"/>
      </w:rPr>
    </w:lvl>
    <w:lvl w:ilvl="3" w:tplc="AB7A10EE" w:tentative="1">
      <w:start w:val="1"/>
      <w:numFmt w:val="bullet"/>
      <w:lvlText w:val=""/>
      <w:lvlJc w:val="left"/>
      <w:pPr>
        <w:ind w:left="2880" w:hanging="360"/>
      </w:pPr>
      <w:rPr>
        <w:rFonts w:ascii="Symbol" w:hAnsi="Symbol" w:hint="default"/>
      </w:rPr>
    </w:lvl>
    <w:lvl w:ilvl="4" w:tplc="D4181D72" w:tentative="1">
      <w:start w:val="1"/>
      <w:numFmt w:val="bullet"/>
      <w:lvlText w:val="o"/>
      <w:lvlJc w:val="left"/>
      <w:pPr>
        <w:ind w:left="3600" w:hanging="360"/>
      </w:pPr>
      <w:rPr>
        <w:rFonts w:ascii="Courier New" w:hAnsi="Courier New" w:cs="Courier New" w:hint="default"/>
      </w:rPr>
    </w:lvl>
    <w:lvl w:ilvl="5" w:tplc="0CB4A988" w:tentative="1">
      <w:start w:val="1"/>
      <w:numFmt w:val="bullet"/>
      <w:lvlText w:val=""/>
      <w:lvlJc w:val="left"/>
      <w:pPr>
        <w:ind w:left="4320" w:hanging="360"/>
      </w:pPr>
      <w:rPr>
        <w:rFonts w:ascii="Wingdings" w:hAnsi="Wingdings" w:hint="default"/>
      </w:rPr>
    </w:lvl>
    <w:lvl w:ilvl="6" w:tplc="45AC5B72" w:tentative="1">
      <w:start w:val="1"/>
      <w:numFmt w:val="bullet"/>
      <w:lvlText w:val=""/>
      <w:lvlJc w:val="left"/>
      <w:pPr>
        <w:ind w:left="5040" w:hanging="360"/>
      </w:pPr>
      <w:rPr>
        <w:rFonts w:ascii="Symbol" w:hAnsi="Symbol" w:hint="default"/>
      </w:rPr>
    </w:lvl>
    <w:lvl w:ilvl="7" w:tplc="AA50326A" w:tentative="1">
      <w:start w:val="1"/>
      <w:numFmt w:val="bullet"/>
      <w:lvlText w:val="o"/>
      <w:lvlJc w:val="left"/>
      <w:pPr>
        <w:ind w:left="5760" w:hanging="360"/>
      </w:pPr>
      <w:rPr>
        <w:rFonts w:ascii="Courier New" w:hAnsi="Courier New" w:cs="Courier New" w:hint="default"/>
      </w:rPr>
    </w:lvl>
    <w:lvl w:ilvl="8" w:tplc="7F80F60C" w:tentative="1">
      <w:start w:val="1"/>
      <w:numFmt w:val="bullet"/>
      <w:lvlText w:val=""/>
      <w:lvlJc w:val="left"/>
      <w:pPr>
        <w:ind w:left="6480" w:hanging="360"/>
      </w:pPr>
      <w:rPr>
        <w:rFonts w:ascii="Wingdings" w:hAnsi="Wingdings" w:hint="default"/>
      </w:rPr>
    </w:lvl>
  </w:abstractNum>
  <w:abstractNum w:abstractNumId="8" w15:restartNumberingAfterBreak="0">
    <w:nsid w:val="3EC41826"/>
    <w:multiLevelType w:val="hybridMultilevel"/>
    <w:tmpl w:val="9050CA3E"/>
    <w:lvl w:ilvl="0" w:tplc="8D4C1216">
      <w:start w:val="3"/>
      <w:numFmt w:val="decimal"/>
      <w:lvlText w:val="%1."/>
      <w:lvlJc w:val="left"/>
      <w:pPr>
        <w:ind w:left="720" w:hanging="360"/>
      </w:pPr>
      <w:rPr>
        <w:rFonts w:hint="default"/>
        <w:b w:val="0"/>
      </w:rPr>
    </w:lvl>
    <w:lvl w:ilvl="1" w:tplc="23806D18" w:tentative="1">
      <w:start w:val="1"/>
      <w:numFmt w:val="lowerLetter"/>
      <w:lvlText w:val="%2."/>
      <w:lvlJc w:val="left"/>
      <w:pPr>
        <w:ind w:left="1440" w:hanging="360"/>
      </w:pPr>
    </w:lvl>
    <w:lvl w:ilvl="2" w:tplc="93C09DBA" w:tentative="1">
      <w:start w:val="1"/>
      <w:numFmt w:val="lowerRoman"/>
      <w:lvlText w:val="%3."/>
      <w:lvlJc w:val="right"/>
      <w:pPr>
        <w:ind w:left="2160" w:hanging="180"/>
      </w:pPr>
    </w:lvl>
    <w:lvl w:ilvl="3" w:tplc="4FE6B93C" w:tentative="1">
      <w:start w:val="1"/>
      <w:numFmt w:val="decimal"/>
      <w:lvlText w:val="%4."/>
      <w:lvlJc w:val="left"/>
      <w:pPr>
        <w:ind w:left="2880" w:hanging="360"/>
      </w:pPr>
    </w:lvl>
    <w:lvl w:ilvl="4" w:tplc="DBDE652A" w:tentative="1">
      <w:start w:val="1"/>
      <w:numFmt w:val="lowerLetter"/>
      <w:lvlText w:val="%5."/>
      <w:lvlJc w:val="left"/>
      <w:pPr>
        <w:ind w:left="3600" w:hanging="360"/>
      </w:pPr>
    </w:lvl>
    <w:lvl w:ilvl="5" w:tplc="7A0824D8" w:tentative="1">
      <w:start w:val="1"/>
      <w:numFmt w:val="lowerRoman"/>
      <w:lvlText w:val="%6."/>
      <w:lvlJc w:val="right"/>
      <w:pPr>
        <w:ind w:left="4320" w:hanging="180"/>
      </w:pPr>
    </w:lvl>
    <w:lvl w:ilvl="6" w:tplc="DE564346" w:tentative="1">
      <w:start w:val="1"/>
      <w:numFmt w:val="decimal"/>
      <w:lvlText w:val="%7."/>
      <w:lvlJc w:val="left"/>
      <w:pPr>
        <w:ind w:left="5040" w:hanging="360"/>
      </w:pPr>
    </w:lvl>
    <w:lvl w:ilvl="7" w:tplc="4B60F66A" w:tentative="1">
      <w:start w:val="1"/>
      <w:numFmt w:val="lowerLetter"/>
      <w:lvlText w:val="%8."/>
      <w:lvlJc w:val="left"/>
      <w:pPr>
        <w:ind w:left="5760" w:hanging="360"/>
      </w:pPr>
    </w:lvl>
    <w:lvl w:ilvl="8" w:tplc="D02017B2" w:tentative="1">
      <w:start w:val="1"/>
      <w:numFmt w:val="lowerRoman"/>
      <w:lvlText w:val="%9."/>
      <w:lvlJc w:val="right"/>
      <w:pPr>
        <w:ind w:left="6480" w:hanging="180"/>
      </w:pPr>
    </w:lvl>
  </w:abstractNum>
  <w:abstractNum w:abstractNumId="9" w15:restartNumberingAfterBreak="0">
    <w:nsid w:val="43E32AF5"/>
    <w:multiLevelType w:val="multilevel"/>
    <w:tmpl w:val="B13CDD56"/>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7419BC"/>
    <w:multiLevelType w:val="hybridMultilevel"/>
    <w:tmpl w:val="EE4CA336"/>
    <w:lvl w:ilvl="0" w:tplc="00F03A78">
      <w:start w:val="1"/>
      <w:numFmt w:val="bullet"/>
      <w:pStyle w:val="Bullet"/>
      <w:lvlText w:val=""/>
      <w:lvlJc w:val="left"/>
      <w:pPr>
        <w:ind w:left="720" w:hanging="360"/>
      </w:pPr>
      <w:rPr>
        <w:rFonts w:ascii="Symbol" w:hAnsi="Symbol" w:hint="default"/>
        <w:color w:val="CE2C43"/>
      </w:rPr>
    </w:lvl>
    <w:lvl w:ilvl="1" w:tplc="61AA3E24">
      <w:start w:val="1"/>
      <w:numFmt w:val="bullet"/>
      <w:lvlText w:val="o"/>
      <w:lvlJc w:val="left"/>
      <w:pPr>
        <w:ind w:left="1440" w:hanging="360"/>
      </w:pPr>
      <w:rPr>
        <w:rFonts w:ascii="Courier New" w:hAnsi="Courier New" w:cs="Courier New" w:hint="default"/>
      </w:rPr>
    </w:lvl>
    <w:lvl w:ilvl="2" w:tplc="67162484">
      <w:start w:val="1"/>
      <w:numFmt w:val="bullet"/>
      <w:lvlText w:val=""/>
      <w:lvlJc w:val="left"/>
      <w:pPr>
        <w:ind w:left="2160" w:hanging="360"/>
      </w:pPr>
      <w:rPr>
        <w:rFonts w:ascii="Wingdings" w:hAnsi="Wingdings" w:hint="default"/>
      </w:rPr>
    </w:lvl>
    <w:lvl w:ilvl="3" w:tplc="5CA8150C" w:tentative="1">
      <w:start w:val="1"/>
      <w:numFmt w:val="bullet"/>
      <w:lvlText w:val=""/>
      <w:lvlJc w:val="left"/>
      <w:pPr>
        <w:ind w:left="2880" w:hanging="360"/>
      </w:pPr>
      <w:rPr>
        <w:rFonts w:ascii="Symbol" w:hAnsi="Symbol" w:hint="default"/>
      </w:rPr>
    </w:lvl>
    <w:lvl w:ilvl="4" w:tplc="CF708864" w:tentative="1">
      <w:start w:val="1"/>
      <w:numFmt w:val="bullet"/>
      <w:lvlText w:val="o"/>
      <w:lvlJc w:val="left"/>
      <w:pPr>
        <w:ind w:left="3600" w:hanging="360"/>
      </w:pPr>
      <w:rPr>
        <w:rFonts w:ascii="Courier New" w:hAnsi="Courier New" w:cs="Courier New" w:hint="default"/>
      </w:rPr>
    </w:lvl>
    <w:lvl w:ilvl="5" w:tplc="01F6887C" w:tentative="1">
      <w:start w:val="1"/>
      <w:numFmt w:val="bullet"/>
      <w:lvlText w:val=""/>
      <w:lvlJc w:val="left"/>
      <w:pPr>
        <w:ind w:left="4320" w:hanging="360"/>
      </w:pPr>
      <w:rPr>
        <w:rFonts w:ascii="Wingdings" w:hAnsi="Wingdings" w:hint="default"/>
      </w:rPr>
    </w:lvl>
    <w:lvl w:ilvl="6" w:tplc="977604C2" w:tentative="1">
      <w:start w:val="1"/>
      <w:numFmt w:val="bullet"/>
      <w:lvlText w:val=""/>
      <w:lvlJc w:val="left"/>
      <w:pPr>
        <w:ind w:left="5040" w:hanging="360"/>
      </w:pPr>
      <w:rPr>
        <w:rFonts w:ascii="Symbol" w:hAnsi="Symbol" w:hint="default"/>
      </w:rPr>
    </w:lvl>
    <w:lvl w:ilvl="7" w:tplc="CC5221C0" w:tentative="1">
      <w:start w:val="1"/>
      <w:numFmt w:val="bullet"/>
      <w:lvlText w:val="o"/>
      <w:lvlJc w:val="left"/>
      <w:pPr>
        <w:ind w:left="5760" w:hanging="360"/>
      </w:pPr>
      <w:rPr>
        <w:rFonts w:ascii="Courier New" w:hAnsi="Courier New" w:cs="Courier New" w:hint="default"/>
      </w:rPr>
    </w:lvl>
    <w:lvl w:ilvl="8" w:tplc="302A34D8" w:tentative="1">
      <w:start w:val="1"/>
      <w:numFmt w:val="bullet"/>
      <w:lvlText w:val=""/>
      <w:lvlJc w:val="left"/>
      <w:pPr>
        <w:ind w:left="6480" w:hanging="360"/>
      </w:pPr>
      <w:rPr>
        <w:rFonts w:ascii="Wingdings" w:hAnsi="Wingdings" w:hint="default"/>
      </w:rPr>
    </w:lvl>
  </w:abstractNum>
  <w:abstractNum w:abstractNumId="11" w15:restartNumberingAfterBreak="0">
    <w:nsid w:val="59E20EE8"/>
    <w:multiLevelType w:val="hybridMultilevel"/>
    <w:tmpl w:val="66F43E7A"/>
    <w:lvl w:ilvl="0" w:tplc="D670011E">
      <w:start w:val="1"/>
      <w:numFmt w:val="bullet"/>
      <w:lvlText w:val=""/>
      <w:lvlJc w:val="left"/>
      <w:pPr>
        <w:ind w:left="720" w:hanging="360"/>
      </w:pPr>
      <w:rPr>
        <w:rFonts w:ascii="Symbol" w:hAnsi="Symbol" w:hint="default"/>
      </w:rPr>
    </w:lvl>
    <w:lvl w:ilvl="1" w:tplc="27BCB90E" w:tentative="1">
      <w:start w:val="1"/>
      <w:numFmt w:val="bullet"/>
      <w:lvlText w:val="o"/>
      <w:lvlJc w:val="left"/>
      <w:pPr>
        <w:ind w:left="1440" w:hanging="360"/>
      </w:pPr>
      <w:rPr>
        <w:rFonts w:ascii="Courier New" w:hAnsi="Courier New" w:cs="Courier New" w:hint="default"/>
      </w:rPr>
    </w:lvl>
    <w:lvl w:ilvl="2" w:tplc="F07C6D0C" w:tentative="1">
      <w:start w:val="1"/>
      <w:numFmt w:val="bullet"/>
      <w:lvlText w:val=""/>
      <w:lvlJc w:val="left"/>
      <w:pPr>
        <w:ind w:left="2160" w:hanging="360"/>
      </w:pPr>
      <w:rPr>
        <w:rFonts w:ascii="Wingdings" w:hAnsi="Wingdings" w:hint="default"/>
      </w:rPr>
    </w:lvl>
    <w:lvl w:ilvl="3" w:tplc="DDE8A000" w:tentative="1">
      <w:start w:val="1"/>
      <w:numFmt w:val="bullet"/>
      <w:lvlText w:val=""/>
      <w:lvlJc w:val="left"/>
      <w:pPr>
        <w:ind w:left="2880" w:hanging="360"/>
      </w:pPr>
      <w:rPr>
        <w:rFonts w:ascii="Symbol" w:hAnsi="Symbol" w:hint="default"/>
      </w:rPr>
    </w:lvl>
    <w:lvl w:ilvl="4" w:tplc="C48011D8" w:tentative="1">
      <w:start w:val="1"/>
      <w:numFmt w:val="bullet"/>
      <w:lvlText w:val="o"/>
      <w:lvlJc w:val="left"/>
      <w:pPr>
        <w:ind w:left="3600" w:hanging="360"/>
      </w:pPr>
      <w:rPr>
        <w:rFonts w:ascii="Courier New" w:hAnsi="Courier New" w:cs="Courier New" w:hint="default"/>
      </w:rPr>
    </w:lvl>
    <w:lvl w:ilvl="5" w:tplc="027209E6" w:tentative="1">
      <w:start w:val="1"/>
      <w:numFmt w:val="bullet"/>
      <w:lvlText w:val=""/>
      <w:lvlJc w:val="left"/>
      <w:pPr>
        <w:ind w:left="4320" w:hanging="360"/>
      </w:pPr>
      <w:rPr>
        <w:rFonts w:ascii="Wingdings" w:hAnsi="Wingdings" w:hint="default"/>
      </w:rPr>
    </w:lvl>
    <w:lvl w:ilvl="6" w:tplc="209EB6F0" w:tentative="1">
      <w:start w:val="1"/>
      <w:numFmt w:val="bullet"/>
      <w:lvlText w:val=""/>
      <w:lvlJc w:val="left"/>
      <w:pPr>
        <w:ind w:left="5040" w:hanging="360"/>
      </w:pPr>
      <w:rPr>
        <w:rFonts w:ascii="Symbol" w:hAnsi="Symbol" w:hint="default"/>
      </w:rPr>
    </w:lvl>
    <w:lvl w:ilvl="7" w:tplc="95B6FC98" w:tentative="1">
      <w:start w:val="1"/>
      <w:numFmt w:val="bullet"/>
      <w:lvlText w:val="o"/>
      <w:lvlJc w:val="left"/>
      <w:pPr>
        <w:ind w:left="5760" w:hanging="360"/>
      </w:pPr>
      <w:rPr>
        <w:rFonts w:ascii="Courier New" w:hAnsi="Courier New" w:cs="Courier New" w:hint="default"/>
      </w:rPr>
    </w:lvl>
    <w:lvl w:ilvl="8" w:tplc="F60A710A" w:tentative="1">
      <w:start w:val="1"/>
      <w:numFmt w:val="bullet"/>
      <w:lvlText w:val=""/>
      <w:lvlJc w:val="left"/>
      <w:pPr>
        <w:ind w:left="6480" w:hanging="360"/>
      </w:pPr>
      <w:rPr>
        <w:rFonts w:ascii="Wingdings" w:hAnsi="Wingdings" w:hint="default"/>
      </w:rPr>
    </w:lvl>
  </w:abstractNum>
  <w:abstractNum w:abstractNumId="12" w15:restartNumberingAfterBreak="0">
    <w:nsid w:val="62CF7BF7"/>
    <w:multiLevelType w:val="hybridMultilevel"/>
    <w:tmpl w:val="3062703C"/>
    <w:lvl w:ilvl="0" w:tplc="6CAA4582">
      <w:start w:val="1"/>
      <w:numFmt w:val="bullet"/>
      <w:lvlText w:val=""/>
      <w:lvlJc w:val="left"/>
      <w:pPr>
        <w:ind w:left="720" w:hanging="360"/>
      </w:pPr>
      <w:rPr>
        <w:rFonts w:ascii="Symbol" w:hAnsi="Symbol" w:hint="default"/>
      </w:rPr>
    </w:lvl>
    <w:lvl w:ilvl="1" w:tplc="FDEE578A" w:tentative="1">
      <w:start w:val="1"/>
      <w:numFmt w:val="bullet"/>
      <w:lvlText w:val="o"/>
      <w:lvlJc w:val="left"/>
      <w:pPr>
        <w:ind w:left="1440" w:hanging="360"/>
      </w:pPr>
      <w:rPr>
        <w:rFonts w:ascii="Courier New" w:hAnsi="Courier New" w:cs="Courier New" w:hint="default"/>
      </w:rPr>
    </w:lvl>
    <w:lvl w:ilvl="2" w:tplc="E30491CC" w:tentative="1">
      <w:start w:val="1"/>
      <w:numFmt w:val="bullet"/>
      <w:lvlText w:val=""/>
      <w:lvlJc w:val="left"/>
      <w:pPr>
        <w:ind w:left="2160" w:hanging="360"/>
      </w:pPr>
      <w:rPr>
        <w:rFonts w:ascii="Wingdings" w:hAnsi="Wingdings" w:hint="default"/>
      </w:rPr>
    </w:lvl>
    <w:lvl w:ilvl="3" w:tplc="E8E421C6" w:tentative="1">
      <w:start w:val="1"/>
      <w:numFmt w:val="bullet"/>
      <w:lvlText w:val=""/>
      <w:lvlJc w:val="left"/>
      <w:pPr>
        <w:ind w:left="2880" w:hanging="360"/>
      </w:pPr>
      <w:rPr>
        <w:rFonts w:ascii="Symbol" w:hAnsi="Symbol" w:hint="default"/>
      </w:rPr>
    </w:lvl>
    <w:lvl w:ilvl="4" w:tplc="0BA8B1D6" w:tentative="1">
      <w:start w:val="1"/>
      <w:numFmt w:val="bullet"/>
      <w:lvlText w:val="o"/>
      <w:lvlJc w:val="left"/>
      <w:pPr>
        <w:ind w:left="3600" w:hanging="360"/>
      </w:pPr>
      <w:rPr>
        <w:rFonts w:ascii="Courier New" w:hAnsi="Courier New" w:cs="Courier New" w:hint="default"/>
      </w:rPr>
    </w:lvl>
    <w:lvl w:ilvl="5" w:tplc="DC8A1E8C" w:tentative="1">
      <w:start w:val="1"/>
      <w:numFmt w:val="bullet"/>
      <w:lvlText w:val=""/>
      <w:lvlJc w:val="left"/>
      <w:pPr>
        <w:ind w:left="4320" w:hanging="360"/>
      </w:pPr>
      <w:rPr>
        <w:rFonts w:ascii="Wingdings" w:hAnsi="Wingdings" w:hint="default"/>
      </w:rPr>
    </w:lvl>
    <w:lvl w:ilvl="6" w:tplc="21DE93C8" w:tentative="1">
      <w:start w:val="1"/>
      <w:numFmt w:val="bullet"/>
      <w:lvlText w:val=""/>
      <w:lvlJc w:val="left"/>
      <w:pPr>
        <w:ind w:left="5040" w:hanging="360"/>
      </w:pPr>
      <w:rPr>
        <w:rFonts w:ascii="Symbol" w:hAnsi="Symbol" w:hint="default"/>
      </w:rPr>
    </w:lvl>
    <w:lvl w:ilvl="7" w:tplc="E1EA5C98" w:tentative="1">
      <w:start w:val="1"/>
      <w:numFmt w:val="bullet"/>
      <w:lvlText w:val="o"/>
      <w:lvlJc w:val="left"/>
      <w:pPr>
        <w:ind w:left="5760" w:hanging="360"/>
      </w:pPr>
      <w:rPr>
        <w:rFonts w:ascii="Courier New" w:hAnsi="Courier New" w:cs="Courier New" w:hint="default"/>
      </w:rPr>
    </w:lvl>
    <w:lvl w:ilvl="8" w:tplc="AC0E33CC" w:tentative="1">
      <w:start w:val="1"/>
      <w:numFmt w:val="bullet"/>
      <w:lvlText w:val=""/>
      <w:lvlJc w:val="left"/>
      <w:pPr>
        <w:ind w:left="6480" w:hanging="360"/>
      </w:pPr>
      <w:rPr>
        <w:rFonts w:ascii="Wingdings" w:hAnsi="Wingdings" w:hint="default"/>
      </w:rPr>
    </w:lvl>
  </w:abstractNum>
  <w:abstractNum w:abstractNumId="13" w15:restartNumberingAfterBreak="0">
    <w:nsid w:val="695D6A28"/>
    <w:multiLevelType w:val="hybridMultilevel"/>
    <w:tmpl w:val="F22E57F0"/>
    <w:lvl w:ilvl="0" w:tplc="AD528E44">
      <w:start w:val="1"/>
      <w:numFmt w:val="bullet"/>
      <w:pStyle w:val="BulletedList"/>
      <w:lvlText w:val=""/>
      <w:lvlJc w:val="left"/>
      <w:pPr>
        <w:ind w:left="720" w:hanging="360"/>
      </w:pPr>
      <w:rPr>
        <w:rFonts w:ascii="Wingdings" w:hAnsi="Wingdings" w:hint="default"/>
      </w:rPr>
    </w:lvl>
    <w:lvl w:ilvl="1" w:tplc="5CAC8B96" w:tentative="1">
      <w:start w:val="1"/>
      <w:numFmt w:val="bullet"/>
      <w:lvlText w:val="o"/>
      <w:lvlJc w:val="left"/>
      <w:pPr>
        <w:ind w:left="1440" w:hanging="360"/>
      </w:pPr>
      <w:rPr>
        <w:rFonts w:ascii="Courier New" w:hAnsi="Courier New" w:cs="Courier New" w:hint="default"/>
      </w:rPr>
    </w:lvl>
    <w:lvl w:ilvl="2" w:tplc="6A0CB1A2" w:tentative="1">
      <w:start w:val="1"/>
      <w:numFmt w:val="bullet"/>
      <w:lvlText w:val=""/>
      <w:lvlJc w:val="left"/>
      <w:pPr>
        <w:ind w:left="2160" w:hanging="360"/>
      </w:pPr>
      <w:rPr>
        <w:rFonts w:ascii="Wingdings" w:hAnsi="Wingdings" w:hint="default"/>
      </w:rPr>
    </w:lvl>
    <w:lvl w:ilvl="3" w:tplc="1C66D598" w:tentative="1">
      <w:start w:val="1"/>
      <w:numFmt w:val="bullet"/>
      <w:lvlText w:val=""/>
      <w:lvlJc w:val="left"/>
      <w:pPr>
        <w:ind w:left="2880" w:hanging="360"/>
      </w:pPr>
      <w:rPr>
        <w:rFonts w:ascii="Symbol" w:hAnsi="Symbol" w:hint="default"/>
      </w:rPr>
    </w:lvl>
    <w:lvl w:ilvl="4" w:tplc="C63C6860" w:tentative="1">
      <w:start w:val="1"/>
      <w:numFmt w:val="bullet"/>
      <w:lvlText w:val="o"/>
      <w:lvlJc w:val="left"/>
      <w:pPr>
        <w:ind w:left="3600" w:hanging="360"/>
      </w:pPr>
      <w:rPr>
        <w:rFonts w:ascii="Courier New" w:hAnsi="Courier New" w:cs="Courier New" w:hint="default"/>
      </w:rPr>
    </w:lvl>
    <w:lvl w:ilvl="5" w:tplc="82A2E8F6" w:tentative="1">
      <w:start w:val="1"/>
      <w:numFmt w:val="bullet"/>
      <w:lvlText w:val=""/>
      <w:lvlJc w:val="left"/>
      <w:pPr>
        <w:ind w:left="4320" w:hanging="360"/>
      </w:pPr>
      <w:rPr>
        <w:rFonts w:ascii="Wingdings" w:hAnsi="Wingdings" w:hint="default"/>
      </w:rPr>
    </w:lvl>
    <w:lvl w:ilvl="6" w:tplc="D074A5AE" w:tentative="1">
      <w:start w:val="1"/>
      <w:numFmt w:val="bullet"/>
      <w:lvlText w:val=""/>
      <w:lvlJc w:val="left"/>
      <w:pPr>
        <w:ind w:left="5040" w:hanging="360"/>
      </w:pPr>
      <w:rPr>
        <w:rFonts w:ascii="Symbol" w:hAnsi="Symbol" w:hint="default"/>
      </w:rPr>
    </w:lvl>
    <w:lvl w:ilvl="7" w:tplc="8FA29EF4" w:tentative="1">
      <w:start w:val="1"/>
      <w:numFmt w:val="bullet"/>
      <w:lvlText w:val="o"/>
      <w:lvlJc w:val="left"/>
      <w:pPr>
        <w:ind w:left="5760" w:hanging="360"/>
      </w:pPr>
      <w:rPr>
        <w:rFonts w:ascii="Courier New" w:hAnsi="Courier New" w:cs="Courier New" w:hint="default"/>
      </w:rPr>
    </w:lvl>
    <w:lvl w:ilvl="8" w:tplc="800607CC"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
  </w:num>
  <w:num w:numId="4">
    <w:abstractNumId w:val="1"/>
  </w:num>
  <w:num w:numId="5">
    <w:abstractNumId w:val="12"/>
  </w:num>
  <w:num w:numId="6">
    <w:abstractNumId w:val="3"/>
  </w:num>
  <w:num w:numId="7">
    <w:abstractNumId w:val="5"/>
  </w:num>
  <w:num w:numId="8">
    <w:abstractNumId w:val="8"/>
  </w:num>
  <w:num w:numId="9">
    <w:abstractNumId w:val="4"/>
  </w:num>
  <w:num w:numId="10">
    <w:abstractNumId w:val="11"/>
  </w:num>
  <w:num w:numId="11">
    <w:abstractNumId w:val="10"/>
  </w:num>
  <w:num w:numId="12">
    <w:abstractNumId w:val="7"/>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tjQyNzUyNrIwNzNS0lEKTi0uzszPAykwMqkFAHp6f1AtAAAA"/>
  </w:docVars>
  <w:rsids>
    <w:rsidRoot w:val="00C13860"/>
    <w:rsid w:val="000074C1"/>
    <w:rsid w:val="000656D2"/>
    <w:rsid w:val="0008042F"/>
    <w:rsid w:val="00096676"/>
    <w:rsid w:val="000A1A7C"/>
    <w:rsid w:val="000A22E5"/>
    <w:rsid w:val="000C7DE9"/>
    <w:rsid w:val="000F08E0"/>
    <w:rsid w:val="00100500"/>
    <w:rsid w:val="001213A0"/>
    <w:rsid w:val="00123836"/>
    <w:rsid w:val="0013564A"/>
    <w:rsid w:val="00150A08"/>
    <w:rsid w:val="00172792"/>
    <w:rsid w:val="00185FD8"/>
    <w:rsid w:val="001932BA"/>
    <w:rsid w:val="001A6F73"/>
    <w:rsid w:val="001B1759"/>
    <w:rsid w:val="001C0FC8"/>
    <w:rsid w:val="001D5A30"/>
    <w:rsid w:val="001F619A"/>
    <w:rsid w:val="0020115E"/>
    <w:rsid w:val="00202F1B"/>
    <w:rsid w:val="00207380"/>
    <w:rsid w:val="00217B8A"/>
    <w:rsid w:val="00224C27"/>
    <w:rsid w:val="0023200C"/>
    <w:rsid w:val="002A7C8B"/>
    <w:rsid w:val="002B67A3"/>
    <w:rsid w:val="002B6B23"/>
    <w:rsid w:val="002B76E5"/>
    <w:rsid w:val="002C70E2"/>
    <w:rsid w:val="002F38B6"/>
    <w:rsid w:val="00315181"/>
    <w:rsid w:val="00317064"/>
    <w:rsid w:val="00330336"/>
    <w:rsid w:val="00366D61"/>
    <w:rsid w:val="003C5543"/>
    <w:rsid w:val="003E2CDC"/>
    <w:rsid w:val="004178A1"/>
    <w:rsid w:val="004431DE"/>
    <w:rsid w:val="00450F07"/>
    <w:rsid w:val="0045285D"/>
    <w:rsid w:val="004635DB"/>
    <w:rsid w:val="00466934"/>
    <w:rsid w:val="00474982"/>
    <w:rsid w:val="004B0128"/>
    <w:rsid w:val="004C2C14"/>
    <w:rsid w:val="004D2297"/>
    <w:rsid w:val="004F41C3"/>
    <w:rsid w:val="00501E19"/>
    <w:rsid w:val="0051484C"/>
    <w:rsid w:val="005259E6"/>
    <w:rsid w:val="0053575D"/>
    <w:rsid w:val="005455C0"/>
    <w:rsid w:val="005617BE"/>
    <w:rsid w:val="00582A13"/>
    <w:rsid w:val="00587E00"/>
    <w:rsid w:val="005D1948"/>
    <w:rsid w:val="005D59F3"/>
    <w:rsid w:val="00607E4B"/>
    <w:rsid w:val="00624F40"/>
    <w:rsid w:val="00680B77"/>
    <w:rsid w:val="006857A6"/>
    <w:rsid w:val="006A7BA6"/>
    <w:rsid w:val="006B7630"/>
    <w:rsid w:val="006D7A70"/>
    <w:rsid w:val="00704495"/>
    <w:rsid w:val="00736302"/>
    <w:rsid w:val="00790983"/>
    <w:rsid w:val="007914A3"/>
    <w:rsid w:val="00792C11"/>
    <w:rsid w:val="00792F89"/>
    <w:rsid w:val="007A3F0C"/>
    <w:rsid w:val="00820BA8"/>
    <w:rsid w:val="008265F1"/>
    <w:rsid w:val="00826669"/>
    <w:rsid w:val="008324AE"/>
    <w:rsid w:val="00841C46"/>
    <w:rsid w:val="0084422A"/>
    <w:rsid w:val="00844DBA"/>
    <w:rsid w:val="00872F48"/>
    <w:rsid w:val="008821E9"/>
    <w:rsid w:val="00892E0B"/>
    <w:rsid w:val="008A0B9A"/>
    <w:rsid w:val="008A674C"/>
    <w:rsid w:val="008A740E"/>
    <w:rsid w:val="008B0BCC"/>
    <w:rsid w:val="008B636A"/>
    <w:rsid w:val="008D0E14"/>
    <w:rsid w:val="008F5DE8"/>
    <w:rsid w:val="009054EF"/>
    <w:rsid w:val="00906D26"/>
    <w:rsid w:val="00943F46"/>
    <w:rsid w:val="00954CD0"/>
    <w:rsid w:val="0096300C"/>
    <w:rsid w:val="00970778"/>
    <w:rsid w:val="00974F0E"/>
    <w:rsid w:val="00986B93"/>
    <w:rsid w:val="00987F68"/>
    <w:rsid w:val="009977B0"/>
    <w:rsid w:val="009A734D"/>
    <w:rsid w:val="009A78C6"/>
    <w:rsid w:val="009C336C"/>
    <w:rsid w:val="009D4627"/>
    <w:rsid w:val="00A02321"/>
    <w:rsid w:val="00A1062C"/>
    <w:rsid w:val="00A1487C"/>
    <w:rsid w:val="00A16E52"/>
    <w:rsid w:val="00A30C21"/>
    <w:rsid w:val="00A57169"/>
    <w:rsid w:val="00A6796C"/>
    <w:rsid w:val="00A704E0"/>
    <w:rsid w:val="00A74844"/>
    <w:rsid w:val="00A752E4"/>
    <w:rsid w:val="00A9328B"/>
    <w:rsid w:val="00A97C63"/>
    <w:rsid w:val="00AA2A92"/>
    <w:rsid w:val="00AD027A"/>
    <w:rsid w:val="00AF1283"/>
    <w:rsid w:val="00B06B75"/>
    <w:rsid w:val="00B129E0"/>
    <w:rsid w:val="00B2035A"/>
    <w:rsid w:val="00B26C9A"/>
    <w:rsid w:val="00B27928"/>
    <w:rsid w:val="00B36F37"/>
    <w:rsid w:val="00B85464"/>
    <w:rsid w:val="00B93688"/>
    <w:rsid w:val="00BB13CC"/>
    <w:rsid w:val="00BB5DB5"/>
    <w:rsid w:val="00BB61EC"/>
    <w:rsid w:val="00BC1289"/>
    <w:rsid w:val="00BD54CF"/>
    <w:rsid w:val="00BD72D0"/>
    <w:rsid w:val="00BF1C05"/>
    <w:rsid w:val="00C000F3"/>
    <w:rsid w:val="00C028FB"/>
    <w:rsid w:val="00C13860"/>
    <w:rsid w:val="00C36D47"/>
    <w:rsid w:val="00C92443"/>
    <w:rsid w:val="00CA7891"/>
    <w:rsid w:val="00CA7A2E"/>
    <w:rsid w:val="00CB25AA"/>
    <w:rsid w:val="00CC4EDD"/>
    <w:rsid w:val="00CC7A40"/>
    <w:rsid w:val="00CD723D"/>
    <w:rsid w:val="00CE00B1"/>
    <w:rsid w:val="00CE2120"/>
    <w:rsid w:val="00CF63D8"/>
    <w:rsid w:val="00CF71A3"/>
    <w:rsid w:val="00D001DF"/>
    <w:rsid w:val="00D06C20"/>
    <w:rsid w:val="00D15440"/>
    <w:rsid w:val="00D41EFE"/>
    <w:rsid w:val="00D47248"/>
    <w:rsid w:val="00D47D52"/>
    <w:rsid w:val="00D53C6E"/>
    <w:rsid w:val="00D56A8B"/>
    <w:rsid w:val="00D62D29"/>
    <w:rsid w:val="00DA318A"/>
    <w:rsid w:val="00DA7900"/>
    <w:rsid w:val="00DC2EC9"/>
    <w:rsid w:val="00E0182D"/>
    <w:rsid w:val="00E06099"/>
    <w:rsid w:val="00E17698"/>
    <w:rsid w:val="00E17D84"/>
    <w:rsid w:val="00E63837"/>
    <w:rsid w:val="00E867B0"/>
    <w:rsid w:val="00EB56D6"/>
    <w:rsid w:val="00ED6866"/>
    <w:rsid w:val="00F078FA"/>
    <w:rsid w:val="00F279EA"/>
    <w:rsid w:val="00F505DA"/>
    <w:rsid w:val="00F75B3A"/>
    <w:rsid w:val="00F7682C"/>
    <w:rsid w:val="00F76A0F"/>
    <w:rsid w:val="00F77D4E"/>
    <w:rsid w:val="00F90E5E"/>
    <w:rsid w:val="00F93D02"/>
    <w:rsid w:val="00F973E6"/>
    <w:rsid w:val="00FA09E4"/>
    <w:rsid w:val="00FB6604"/>
    <w:rsid w:val="00FC03EE"/>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93FBE-19AB-4A5D-A4B8-2B66777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qFormat/>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1932BA"/>
    <w:pPr>
      <w:spacing w:after="80" w:line="192" w:lineRule="auto"/>
    </w:pPr>
    <w:rPr>
      <w:rFonts w:asciiTheme="minorHAnsi" w:hAnsiTheme="minorHAnsi" w:cstheme="minorHAnsi"/>
      <w:sz w:val="36"/>
    </w:rPr>
  </w:style>
  <w:style w:type="paragraph" w:customStyle="1" w:styleId="Body">
    <w:name w:val="Body"/>
    <w:basedOn w:val="Normal"/>
    <w:link w:val="BodyChar"/>
    <w:qFormat/>
    <w:rsid w:val="005617BE"/>
    <w:pPr>
      <w:spacing w:line="252" w:lineRule="auto"/>
    </w:pPr>
    <w:rPr>
      <w:rFonts w:cstheme="minorHAnsi"/>
    </w:rPr>
  </w:style>
  <w:style w:type="character" w:customStyle="1" w:styleId="1HeaderChar">
    <w:name w:val="1 Header Char"/>
    <w:basedOn w:val="ArticleHeaderChar"/>
    <w:link w:val="1Header"/>
    <w:rsid w:val="001932BA"/>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617BE"/>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A57169"/>
    <w:pPr>
      <w:spacing w:after="0"/>
    </w:pPr>
    <w:rPr>
      <w:rFonts w:cstheme="minorHAnsi"/>
      <w:b/>
    </w:rPr>
  </w:style>
  <w:style w:type="character" w:customStyle="1" w:styleId="2HeaderChar">
    <w:name w:val="2 Header Char"/>
    <w:basedOn w:val="DefaultParagraphFont"/>
    <w:link w:val="2Header"/>
    <w:rsid w:val="00A57169"/>
    <w:rPr>
      <w:rFonts w:cstheme="minorHAnsi"/>
      <w:b/>
    </w:rPr>
  </w:style>
  <w:style w:type="character" w:customStyle="1" w:styleId="UnresolvedMention1">
    <w:name w:val="Unresolved Mention1"/>
    <w:basedOn w:val="DefaultParagraphFont"/>
    <w:uiPriority w:val="99"/>
    <w:semiHidden/>
    <w:unhideWhenUsed/>
    <w:rsid w:val="00C13860"/>
    <w:rPr>
      <w:color w:val="605E5C"/>
      <w:shd w:val="clear" w:color="auto" w:fill="E1DFDD"/>
    </w:rPr>
  </w:style>
  <w:style w:type="character" w:styleId="FollowedHyperlink">
    <w:name w:val="FollowedHyperlink"/>
    <w:basedOn w:val="DefaultParagraphFont"/>
    <w:uiPriority w:val="99"/>
    <w:semiHidden/>
    <w:unhideWhenUsed/>
    <w:rsid w:val="001D5A30"/>
    <w:rPr>
      <w:color w:val="954F72" w:themeColor="followedHyperlink"/>
      <w:u w:val="single"/>
    </w:rPr>
  </w:style>
  <w:style w:type="character" w:styleId="CommentReference">
    <w:name w:val="annotation reference"/>
    <w:basedOn w:val="DefaultParagraphFont"/>
    <w:uiPriority w:val="99"/>
    <w:semiHidden/>
    <w:unhideWhenUsed/>
    <w:rsid w:val="00474982"/>
    <w:rPr>
      <w:sz w:val="16"/>
      <w:szCs w:val="16"/>
    </w:rPr>
  </w:style>
  <w:style w:type="paragraph" w:styleId="CommentText">
    <w:name w:val="annotation text"/>
    <w:basedOn w:val="Normal"/>
    <w:link w:val="CommentTextChar"/>
    <w:uiPriority w:val="99"/>
    <w:semiHidden/>
    <w:unhideWhenUsed/>
    <w:rsid w:val="00474982"/>
    <w:pPr>
      <w:spacing w:line="240" w:lineRule="auto"/>
    </w:pPr>
    <w:rPr>
      <w:sz w:val="20"/>
      <w:szCs w:val="20"/>
    </w:rPr>
  </w:style>
  <w:style w:type="character" w:customStyle="1" w:styleId="CommentTextChar">
    <w:name w:val="Comment Text Char"/>
    <w:basedOn w:val="DefaultParagraphFont"/>
    <w:link w:val="CommentText"/>
    <w:uiPriority w:val="99"/>
    <w:semiHidden/>
    <w:rsid w:val="00474982"/>
    <w:rPr>
      <w:sz w:val="20"/>
      <w:szCs w:val="20"/>
    </w:rPr>
  </w:style>
  <w:style w:type="paragraph" w:styleId="CommentSubject">
    <w:name w:val="annotation subject"/>
    <w:basedOn w:val="CommentText"/>
    <w:next w:val="CommentText"/>
    <w:link w:val="CommentSubjectChar"/>
    <w:uiPriority w:val="99"/>
    <w:semiHidden/>
    <w:unhideWhenUsed/>
    <w:rsid w:val="00474982"/>
    <w:rPr>
      <w:b/>
      <w:bCs/>
    </w:rPr>
  </w:style>
  <w:style w:type="character" w:customStyle="1" w:styleId="CommentSubjectChar">
    <w:name w:val="Comment Subject Char"/>
    <w:basedOn w:val="CommentTextChar"/>
    <w:link w:val="CommentSubject"/>
    <w:uiPriority w:val="99"/>
    <w:semiHidden/>
    <w:rsid w:val="00474982"/>
    <w:rPr>
      <w:b/>
      <w:bCs/>
      <w:sz w:val="20"/>
      <w:szCs w:val="20"/>
    </w:rPr>
  </w:style>
  <w:style w:type="paragraph" w:styleId="BalloonText">
    <w:name w:val="Balloon Text"/>
    <w:basedOn w:val="Normal"/>
    <w:link w:val="BalloonTextChar"/>
    <w:uiPriority w:val="99"/>
    <w:semiHidden/>
    <w:unhideWhenUsed/>
    <w:rsid w:val="0047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82"/>
    <w:rPr>
      <w:rFonts w:ascii="Segoe UI" w:hAnsi="Segoe UI" w:cs="Segoe UI"/>
      <w:sz w:val="18"/>
      <w:szCs w:val="18"/>
    </w:rPr>
  </w:style>
  <w:style w:type="paragraph" w:styleId="BodyText">
    <w:name w:val="Body Text"/>
    <w:basedOn w:val="Normal"/>
    <w:link w:val="BodyTextChar"/>
    <w:uiPriority w:val="99"/>
    <w:semiHidden/>
    <w:unhideWhenUsed/>
    <w:rsid w:val="00D15440"/>
    <w:pPr>
      <w:spacing w:after="120"/>
    </w:pPr>
  </w:style>
  <w:style w:type="character" w:customStyle="1" w:styleId="BodyTextChar">
    <w:name w:val="Body Text Char"/>
    <w:basedOn w:val="DefaultParagraphFont"/>
    <w:link w:val="BodyText"/>
    <w:uiPriority w:val="99"/>
    <w:semiHidden/>
    <w:rsid w:val="00D15440"/>
  </w:style>
  <w:style w:type="paragraph" w:customStyle="1" w:styleId="Bullet">
    <w:name w:val="Bullet"/>
    <w:basedOn w:val="Normal"/>
    <w:link w:val="BulletChar"/>
    <w:qFormat/>
    <w:rsid w:val="002C70E2"/>
    <w:pPr>
      <w:numPr>
        <w:numId w:val="11"/>
      </w:numPr>
      <w:spacing w:after="0"/>
    </w:pPr>
  </w:style>
  <w:style w:type="character" w:customStyle="1" w:styleId="BulletChar">
    <w:name w:val="Bullet Char"/>
    <w:basedOn w:val="DefaultParagraphFont"/>
    <w:link w:val="Bullet"/>
    <w:rsid w:val="002C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l.gov/agencies/ebsa/laws-and-regulations/laws/cob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l.gov/agencies/ebsa/employers-and-advisers/plan-administration-and-compliance/disaster-relief/ebsa-disaster-relief-notice-2020-0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info.gov/content/pkg/FR-2019-01-24/pdf/2019-0007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l.gov/agencies/ebsa/employers-and-advisers/plan-administration-and-compliance/disaster-relief/ebsa-disaster-relief-notice-2020-01" TargetMode="External"/><Relationship Id="rId5" Type="http://schemas.openxmlformats.org/officeDocument/2006/relationships/webSettings" Target="webSettings.xml"/><Relationship Id="rId15" Type="http://schemas.openxmlformats.org/officeDocument/2006/relationships/hyperlink" Target="https://www.govinfo.gov/content/pkg/FR-2019-01-24/pdf/2019-00077.pdf" TargetMode="External"/><Relationship Id="rId10" Type="http://schemas.openxmlformats.org/officeDocument/2006/relationships/hyperlink" Target="https://www.federalregister.gov/documents/2020/05/04/2020-09399/extension-of-certain-timeframes-for-employee-benefit-plans-participants-and-beneficiaries-affecte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ederalregister.gov/documents/2020/05/04/2020-09399/extension-of-certain-timeframes-for-employee-benefit-plans-participants-and-beneficiaries-affected" TargetMode="External"/><Relationship Id="rId14" Type="http://schemas.openxmlformats.org/officeDocument/2006/relationships/hyperlink" Target="https://www.dol.gov/agencies/ebsa/laws-and-regulations/laws/cob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Benefits%20Buzz\2020\Benefits_Buzz-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5E1B-742B-4BE7-BF62-63B28CAA7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Benefits_Buzz-EB-2020-US</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2020-06-03T15:27:00Z</dcterms:created>
  <dcterms:modified xsi:type="dcterms:W3CDTF">2020-06-03T15:27:00Z</dcterms:modified>
</cp:coreProperties>
</file>