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300C" w:rsidRPr="00D001DF" w:rsidRDefault="008D176B" w:rsidP="009C336C">
      <w:pPr>
        <w:pStyle w:val="Body"/>
      </w:pPr>
      <w:bookmarkStart w:id="0" w:name="_GoBack"/>
      <w:bookmarkEnd w:id="0"/>
      <w:r w:rsidRPr="00D001DF">
        <w:rPr>
          <w:noProof/>
        </w:rPr>
        <w:drawing>
          <wp:anchor distT="0" distB="0" distL="114300" distR="114300" simplePos="0" relativeHeight="251658240" behindDoc="0" locked="1" layoutInCell="1" allowOverlap="1">
            <wp:simplePos x="0" y="0"/>
            <wp:positionH relativeFrom="margin">
              <wp:posOffset>2730500</wp:posOffset>
            </wp:positionH>
            <wp:positionV relativeFrom="margin">
              <wp:posOffset>7810500</wp:posOffset>
            </wp:positionV>
            <wp:extent cx="1645923" cy="1120142"/>
            <wp:effectExtent l="0" t="0" r="0" b="0"/>
            <wp:wrapNone/>
            <wp:docPr id="100021" name="Picture 100021"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80441"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Pr>
          <w:noProof/>
        </w:rPr>
        <mc:AlternateContent>
          <mc:Choice Requires="wps">
            <w:drawing>
              <wp:anchor distT="0" distB="0" distL="114300" distR="114300" simplePos="0" relativeHeight="251669504" behindDoc="0" locked="0" layoutInCell="1" allowOverlap="1">
                <wp:simplePos x="0" y="0"/>
                <wp:positionH relativeFrom="margin">
                  <wp:posOffset>-1905</wp:posOffset>
                </wp:positionH>
                <wp:positionV relativeFrom="paragraph">
                  <wp:posOffset>3743960</wp:posOffset>
                </wp:positionV>
                <wp:extent cx="2159000" cy="4057650"/>
                <wp:effectExtent l="0" t="0" r="12700" b="0"/>
                <wp:wrapNone/>
                <wp:docPr id="18" name="Text Box 18"/>
                <wp:cNvGraphicFramePr/>
                <a:graphic xmlns:a="http://schemas.openxmlformats.org/drawingml/2006/main">
                  <a:graphicData uri="http://schemas.microsoft.com/office/word/2010/wordprocessingShape">
                    <wps:wsp>
                      <wps:cNvSpPr txBox="1"/>
                      <wps:spPr>
                        <a:xfrm>
                          <a:off x="0" y="0"/>
                          <a:ext cx="2159000" cy="4057650"/>
                        </a:xfrm>
                        <a:prstGeom prst="rect">
                          <a:avLst/>
                        </a:prstGeom>
                        <a:noFill/>
                        <a:ln w="6350">
                          <a:noFill/>
                        </a:ln>
                      </wps:spPr>
                      <wps:txbx>
                        <w:txbxContent>
                          <w:p w:rsidR="002C70E2" w:rsidRDefault="008D176B" w:rsidP="002C70E2">
                            <w:pPr>
                              <w:pStyle w:val="Body"/>
                            </w:pPr>
                            <w:r>
                              <w:t>T</w:t>
                            </w:r>
                            <w:r w:rsidRPr="004635DB">
                              <w:t>he IRS Office of Chief Counsel</w:t>
                            </w:r>
                            <w:r>
                              <w:t xml:space="preserve"> recently</w:t>
                            </w:r>
                            <w:r w:rsidRPr="004635DB">
                              <w:t xml:space="preserve"> released a </w:t>
                            </w:r>
                            <w:hyperlink r:id="rId9" w:history="1">
                              <w:r w:rsidRPr="004635DB">
                                <w:rPr>
                                  <w:rStyle w:val="Hyperlink"/>
                                </w:rPr>
                                <w:t>memorandum</w:t>
                              </w:r>
                            </w:hyperlink>
                            <w:r w:rsidRPr="004635DB">
                              <w:t xml:space="preserve"> clarifying that there is no applicable statute of limitations on pay or play penalty assessments under the ACA. This means that there is no time limit for the IRS to issue a penalty</w:t>
                            </w:r>
                            <w:r>
                              <w:t xml:space="preserve"> </w:t>
                            </w:r>
                            <w:r w:rsidRPr="004635DB">
                              <w:t>assessment for employers that do not comply with the pay or play rules fo</w:t>
                            </w:r>
                            <w:r w:rsidRPr="004635DB">
                              <w:t>r a given year</w:t>
                            </w:r>
                            <w:r>
                              <w:t>.</w:t>
                            </w:r>
                          </w:p>
                          <w:p w:rsidR="002C70E2" w:rsidRDefault="008D176B" w:rsidP="002C70E2">
                            <w:pPr>
                              <w:pStyle w:val="2Header"/>
                            </w:pPr>
                            <w:r>
                              <w:t>What are the pay or play rules?</w:t>
                            </w:r>
                          </w:p>
                          <w:p w:rsidR="002C70E2" w:rsidRDefault="008D176B" w:rsidP="002C70E2">
                            <w:pPr>
                              <w:pStyle w:val="Body"/>
                            </w:pPr>
                            <w:r w:rsidRPr="005E30A9">
                              <w:t xml:space="preserve">The ACA’s employer shared responsibility rules require </w:t>
                            </w:r>
                            <w:r>
                              <w:t>applicable large employers (</w:t>
                            </w:r>
                            <w:r w:rsidRPr="005E30A9">
                              <w:t>ALEs</w:t>
                            </w:r>
                            <w:r>
                              <w:t>)</w:t>
                            </w:r>
                            <w:r w:rsidRPr="005E30A9">
                              <w:t xml:space="preserve"> to offer affordable, minimum value health coverage to their full-time employees or pay a penalty.</w:t>
                            </w:r>
                            <w:r>
                              <w:t xml:space="preserve"> T</w:t>
                            </w:r>
                            <w:r w:rsidRPr="005E30A9">
                              <w:t>hese</w:t>
                            </w:r>
                            <w:r>
                              <w:t xml:space="preserve"> </w:t>
                            </w:r>
                            <w:r w:rsidRPr="005E30A9">
                              <w:t>rules, also kno</w:t>
                            </w:r>
                            <w:r w:rsidRPr="005E30A9">
                              <w:t xml:space="preserve">wn as the “employer mandate” or “pay or play” rules, </w:t>
                            </w:r>
                            <w:r>
                              <w:t xml:space="preserve">impose penalties on </w:t>
                            </w:r>
                            <w:r w:rsidRPr="005E30A9">
                              <w:t>ALE</w:t>
                            </w:r>
                            <w:r>
                              <w:t>s</w:t>
                            </w:r>
                            <w:r w:rsidRPr="005E30A9">
                              <w:t xml:space="preserve"> if one or</w:t>
                            </w:r>
                            <w:r>
                              <w:t xml:space="preserve"> more of their full-time employees obtain an Exchange</w:t>
                            </w:r>
                          </w:p>
                          <w:p w:rsidR="00D15440" w:rsidRDefault="008D176B" w:rsidP="004635DB">
                            <w:pPr>
                              <w:pStyle w:val="Body"/>
                            </w:pPr>
                            <w:r w:rsidRPr="004635DB">
                              <w:t xml:space="preserve"> </w:t>
                            </w:r>
                          </w:p>
                          <w:p w:rsidR="004635DB" w:rsidRDefault="004635DB" w:rsidP="004635DB">
                            <w:pPr>
                              <w:pStyle w:val="Body"/>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5pt;margin-top:294.8pt;width:170pt;height:31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" filled="f" stroked="f" strokeweight=".5pt">
                <v:textbox inset="0,,0">
                  <w:txbxContent>
                    <w:p w:rsidR="002C70E2" w:rsidRDefault="008D176B" w:rsidP="002C70E2">
                      <w:pPr>
                        <w:pStyle w:val="Body"/>
                      </w:pPr>
                      <w:r>
                        <w:t>T</w:t>
                      </w:r>
                      <w:r w:rsidRPr="004635DB">
                        <w:t>he IRS Office of Chief Counsel</w:t>
                      </w:r>
                      <w:r>
                        <w:t xml:space="preserve"> recently</w:t>
                      </w:r>
                      <w:r w:rsidRPr="004635DB">
                        <w:t xml:space="preserve"> released a </w:t>
                      </w:r>
                      <w:hyperlink r:id="rId10" w:history="1">
                        <w:r w:rsidRPr="004635DB">
                          <w:rPr>
                            <w:rStyle w:val="Hyperlink"/>
                          </w:rPr>
                          <w:t>memorandum</w:t>
                        </w:r>
                      </w:hyperlink>
                      <w:r w:rsidRPr="004635DB">
                        <w:t xml:space="preserve"> clarifying that there is no applicable statute of limitations on pay or play penalty assessments under the ACA. This means that there is no time limit for the IRS to issue a penalty</w:t>
                      </w:r>
                      <w:r>
                        <w:t xml:space="preserve"> </w:t>
                      </w:r>
                      <w:r w:rsidRPr="004635DB">
                        <w:t>assessment for employers that do not comply with the pay or play rules fo</w:t>
                      </w:r>
                      <w:r w:rsidRPr="004635DB">
                        <w:t>r a given year</w:t>
                      </w:r>
                      <w:r>
                        <w:t>.</w:t>
                      </w:r>
                    </w:p>
                    <w:p w:rsidR="002C70E2" w:rsidRDefault="008D176B" w:rsidP="002C70E2">
                      <w:pPr>
                        <w:pStyle w:val="2Header"/>
                      </w:pPr>
                      <w:r>
                        <w:t>What are the pay or play rules?</w:t>
                      </w:r>
                    </w:p>
                    <w:p w:rsidR="002C70E2" w:rsidRDefault="008D176B" w:rsidP="002C70E2">
                      <w:pPr>
                        <w:pStyle w:val="Body"/>
                      </w:pPr>
                      <w:r w:rsidRPr="005E30A9">
                        <w:t xml:space="preserve">The ACA’s employer shared responsibility rules require </w:t>
                      </w:r>
                      <w:r>
                        <w:t>applicable large employers (</w:t>
                      </w:r>
                      <w:r w:rsidRPr="005E30A9">
                        <w:t>ALEs</w:t>
                      </w:r>
                      <w:r>
                        <w:t>)</w:t>
                      </w:r>
                      <w:r w:rsidRPr="005E30A9">
                        <w:t xml:space="preserve"> to offer affordable, minimum value health coverage to their full-time employees or pay a penalty.</w:t>
                      </w:r>
                      <w:r>
                        <w:t xml:space="preserve"> T</w:t>
                      </w:r>
                      <w:r w:rsidRPr="005E30A9">
                        <w:t>hese</w:t>
                      </w:r>
                      <w:r>
                        <w:t xml:space="preserve"> </w:t>
                      </w:r>
                      <w:r w:rsidRPr="005E30A9">
                        <w:t>rules, also kno</w:t>
                      </w:r>
                      <w:r w:rsidRPr="005E30A9">
                        <w:t xml:space="preserve">wn as the “employer mandate” or “pay or play” rules, </w:t>
                      </w:r>
                      <w:r>
                        <w:t xml:space="preserve">impose penalties on </w:t>
                      </w:r>
                      <w:r w:rsidRPr="005E30A9">
                        <w:t>ALE</w:t>
                      </w:r>
                      <w:r>
                        <w:t>s</w:t>
                      </w:r>
                      <w:r w:rsidRPr="005E30A9">
                        <w:t xml:space="preserve"> if one or</w:t>
                      </w:r>
                      <w:r>
                        <w:t xml:space="preserve"> more of their full-time employees obtain an Exchange</w:t>
                      </w:r>
                    </w:p>
                    <w:p w:rsidR="00D15440" w:rsidRDefault="008D176B" w:rsidP="004635DB">
                      <w:pPr>
                        <w:pStyle w:val="Body"/>
                      </w:pPr>
                      <w:r w:rsidRPr="004635DB">
                        <w:t xml:space="preserve"> </w:t>
                      </w:r>
                    </w:p>
                    <w:p w:rsidR="004635DB" w:rsidRDefault="004635DB" w:rsidP="004635DB">
                      <w:pPr>
                        <w:pStyle w:val="Body"/>
                      </w:pP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posOffset>2226945</wp:posOffset>
                </wp:positionH>
                <wp:positionV relativeFrom="paragraph">
                  <wp:posOffset>19685</wp:posOffset>
                </wp:positionV>
                <wp:extent cx="2228850" cy="3314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28850" cy="3314700"/>
                        </a:xfrm>
                        <a:prstGeom prst="rect">
                          <a:avLst/>
                        </a:prstGeom>
                        <a:noFill/>
                        <a:ln w="6350">
                          <a:noFill/>
                        </a:ln>
                      </wps:spPr>
                      <wps:txbx>
                        <w:txbxContent>
                          <w:p w:rsidR="00C13860" w:rsidRDefault="008D176B" w:rsidP="004635DB">
                            <w:pPr>
                              <w:pStyle w:val="Body"/>
                            </w:pPr>
                            <w:r w:rsidRPr="008821E9">
                              <w:t xml:space="preserve">the rest of the ACA can remain in place. </w:t>
                            </w:r>
                            <w:r w:rsidRPr="008821E9">
                              <w:rPr>
                                <w:rFonts w:cstheme="minorBidi"/>
                              </w:rPr>
                              <w:t xml:space="preserve">The Supreme Court had previously </w:t>
                            </w:r>
                            <w:hyperlink r:id="rId11" w:history="1">
                              <w:r w:rsidRPr="008821E9">
                                <w:rPr>
                                  <w:rStyle w:val="Hyperlink"/>
                                  <w:rFonts w:cstheme="minorBidi"/>
                                </w:rPr>
                                <w:t>denied</w:t>
                              </w:r>
                            </w:hyperlink>
                            <w:r w:rsidRPr="008821E9">
                              <w:rPr>
                                <w:rFonts w:cstheme="minorBidi"/>
                              </w:rPr>
                              <w:t xml:space="preserve"> a request </w:t>
                            </w:r>
                            <w:r>
                              <w:rPr>
                                <w:rFonts w:cstheme="minorBidi"/>
                              </w:rPr>
                              <w:t xml:space="preserve">to expedite consideration of this case. </w:t>
                            </w:r>
                            <w:r w:rsidR="00FB6604">
                              <w:t>This is the third time the Supreme Court has reviewed the ACA’s constitutionality.</w:t>
                            </w:r>
                          </w:p>
                          <w:p w:rsidR="00FB6604" w:rsidRDefault="008D176B" w:rsidP="004635DB">
                            <w:pPr>
                              <w:pStyle w:val="2Header"/>
                              <w:spacing w:line="252" w:lineRule="auto"/>
                            </w:pPr>
                            <w:r>
                              <w:t>Employer Action Step</w:t>
                            </w:r>
                            <w:r w:rsidR="004635DB">
                              <w:t>s</w:t>
                            </w:r>
                          </w:p>
                          <w:p w:rsidR="004635DB" w:rsidRDefault="008D176B" w:rsidP="004635DB">
                            <w:pPr>
                              <w:pStyle w:val="Body"/>
                            </w:pPr>
                            <w:r>
                              <w:t>While this legal challenge is pending</w:t>
                            </w:r>
                            <w:r w:rsidRPr="00292AF2">
                              <w:t>, all exi</w:t>
                            </w:r>
                            <w:r w:rsidRPr="00292AF2">
                              <w:t>sting ACA provisions will continue to be applicable and enforced. Th</w:t>
                            </w:r>
                            <w:r>
                              <w:t>is challenge</w:t>
                            </w:r>
                            <w:r w:rsidRPr="00292AF2">
                              <w:t xml:space="preserve"> do</w:t>
                            </w:r>
                            <w:r>
                              <w:t>es</w:t>
                            </w:r>
                            <w:r w:rsidRPr="00292AF2">
                              <w:t xml:space="preserve"> not impact Exchange enrollment, the ACA’s employer shared responsibility penalties and related reporting requirements, or any other applicable ACA requirement</w:t>
                            </w:r>
                            <w:r>
                              <w:t>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175.35pt;margin-top:1.55pt;width:175.5pt;height:26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" filled="f" stroked="f" strokeweight=".5pt">
                <v:textbox inset="0,,0">
                  <w:txbxContent>
                    <w:p w:rsidR="00C13860" w:rsidRDefault="008D176B" w:rsidP="004635DB">
                      <w:pPr>
                        <w:pStyle w:val="Body"/>
                      </w:pPr>
                      <w:r w:rsidRPr="008821E9">
                        <w:t xml:space="preserve">the rest of the ACA can remain in place. </w:t>
                      </w:r>
                      <w:r w:rsidRPr="008821E9">
                        <w:rPr>
                          <w:rFonts w:cstheme="minorBidi"/>
                        </w:rPr>
                        <w:t xml:space="preserve">The Supreme Court had previously </w:t>
                      </w:r>
                      <w:hyperlink r:id="rId12" w:history="1">
                        <w:r w:rsidRPr="008821E9">
                          <w:rPr>
                            <w:rStyle w:val="Hyperlink"/>
                            <w:rFonts w:cstheme="minorBidi"/>
                          </w:rPr>
                          <w:t>denied</w:t>
                        </w:r>
                      </w:hyperlink>
                      <w:r w:rsidRPr="008821E9">
                        <w:rPr>
                          <w:rFonts w:cstheme="minorBidi"/>
                        </w:rPr>
                        <w:t xml:space="preserve"> a request </w:t>
                      </w:r>
                      <w:r>
                        <w:rPr>
                          <w:rFonts w:cstheme="minorBidi"/>
                        </w:rPr>
                        <w:t xml:space="preserve">to expedite consideration of this case. </w:t>
                      </w:r>
                      <w:r w:rsidR="00FB6604">
                        <w:t>This is the third time the Supreme Court has reviewed the ACA’s constitutionality.</w:t>
                      </w:r>
                    </w:p>
                    <w:p w:rsidR="00FB6604" w:rsidRDefault="008D176B" w:rsidP="004635DB">
                      <w:pPr>
                        <w:pStyle w:val="2Header"/>
                        <w:spacing w:line="252" w:lineRule="auto"/>
                      </w:pPr>
                      <w:r>
                        <w:t>Employer Action Step</w:t>
                      </w:r>
                      <w:r w:rsidR="004635DB">
                        <w:t>s</w:t>
                      </w:r>
                    </w:p>
                    <w:p w:rsidR="004635DB" w:rsidRDefault="008D176B" w:rsidP="004635DB">
                      <w:pPr>
                        <w:pStyle w:val="Body"/>
                      </w:pPr>
                      <w:r>
                        <w:t>While this legal challenge is pending</w:t>
                      </w:r>
                      <w:r w:rsidRPr="00292AF2">
                        <w:t>, all exi</w:t>
                      </w:r>
                      <w:r w:rsidRPr="00292AF2">
                        <w:t>sting ACA provisions will continue to be applicable and enforced. Th</w:t>
                      </w:r>
                      <w:r>
                        <w:t>is challenge</w:t>
                      </w:r>
                      <w:r w:rsidRPr="00292AF2">
                        <w:t xml:space="preserve"> do</w:t>
                      </w:r>
                      <w:r>
                        <w:t>es</w:t>
                      </w:r>
                      <w:r w:rsidRPr="00292AF2">
                        <w:t xml:space="preserve"> not impact Exchange enrollment, the ACA’s employer shared responsibility penalties and related reporting requirements, or any other applicable ACA requirement</w:t>
                      </w:r>
                      <w:r>
                        <w:t>s.</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-1905</wp:posOffset>
                </wp:positionH>
                <wp:positionV relativeFrom="paragraph">
                  <wp:posOffset>28575</wp:posOffset>
                </wp:positionV>
                <wp:extent cx="2105025" cy="3152775"/>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105025" cy="3152775"/>
                        </a:xfrm>
                        <a:prstGeom prst="rect">
                          <a:avLst/>
                        </a:prstGeom>
                        <a:noFill/>
                        <a:ln w="6350">
                          <a:noFill/>
                        </a:ln>
                      </wps:spPr>
                      <wps:txbx>
                        <w:txbxContent>
                          <w:p w:rsidR="008821E9" w:rsidRDefault="008D176B" w:rsidP="008821E9">
                            <w:pPr>
                              <w:pStyle w:val="BodyText"/>
                            </w:pPr>
                            <w:r>
                              <w:t>The U</w:t>
                            </w:r>
                            <w:r w:rsidR="00AA2A92">
                              <w:t>.</w:t>
                            </w:r>
                            <w:r>
                              <w:t>S</w:t>
                            </w:r>
                            <w:r w:rsidR="00AA2A92">
                              <w:t>.</w:t>
                            </w:r>
                            <w:r>
                              <w:t xml:space="preserve"> Supreme Court recently </w:t>
                            </w:r>
                            <w:hyperlink r:id="rId13" w:history="1">
                              <w:r w:rsidRPr="00D003DA">
                                <w:rPr>
                                  <w:rStyle w:val="Hyperlink"/>
                                </w:rPr>
                                <w:t>agreed</w:t>
                              </w:r>
                            </w:hyperlink>
                            <w:r>
                              <w:t xml:space="preserve"> to hear a legal challenge to the Affordable Care Act (ACA). The case involved is </w:t>
                            </w:r>
                            <w:bookmarkStart w:id="1" w:name="_Hlk34041794"/>
                            <w:r w:rsidRPr="00D003DA">
                              <w:rPr>
                                <w:i/>
                              </w:rPr>
                              <w:t>Texas v. Azar</w:t>
                            </w:r>
                            <w:bookmarkEnd w:id="1"/>
                            <w:r>
                              <w:t xml:space="preserve">, a lawsuit challenging the constitutionality of the ACA’s individual mandate. </w:t>
                            </w:r>
                          </w:p>
                          <w:p w:rsidR="008821E9" w:rsidRPr="008821E9" w:rsidRDefault="008D176B" w:rsidP="008821E9">
                            <w:pPr>
                              <w:pStyle w:val="2Header"/>
                            </w:pPr>
                            <w:r w:rsidRPr="008821E9">
                              <w:t xml:space="preserve">ACA Litigation </w:t>
                            </w:r>
                          </w:p>
                          <w:p w:rsidR="00C13860" w:rsidRDefault="008D176B" w:rsidP="008821E9">
                            <w:pPr>
                              <w:spacing w:line="252" w:lineRule="auto"/>
                            </w:pPr>
                            <w:r w:rsidRPr="008821E9">
                              <w:rPr>
                                <w:i/>
                              </w:rPr>
                              <w:t>Texas v. Azar</w:t>
                            </w:r>
                            <w:r w:rsidRPr="008821E9">
                              <w:t xml:space="preserve"> was filed in 2018 by 18 states after the individual mandate penalty was eliminated. In December 2019, a federal appeals court </w:t>
                            </w:r>
                            <w:hyperlink r:id="rId14" w:history="1">
                              <w:r w:rsidRPr="008821E9">
                                <w:rPr>
                                  <w:rStyle w:val="Hyperlink"/>
                                </w:rPr>
                                <w:t>ruled</w:t>
                              </w:r>
                            </w:hyperlink>
                            <w:r w:rsidRPr="008821E9">
                              <w:t xml:space="preserve"> in the case that the individual mandate is unconstitutional and directed the lower court to determine whether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5pt;margin-top:2.25pt;width:165.75pt;height:24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" filled="f" stroked="f" strokeweight=".5pt">
                <v:textbox inset="0,,0">
                  <w:txbxContent>
                    <w:p w:rsidR="008821E9" w:rsidRDefault="008D176B" w:rsidP="008821E9">
                      <w:pPr>
                        <w:pStyle w:val="BodyText"/>
                      </w:pPr>
                      <w:r>
                        <w:t>The U</w:t>
                      </w:r>
                      <w:r w:rsidR="00AA2A92">
                        <w:t>.</w:t>
                      </w:r>
                      <w:r>
                        <w:t>S</w:t>
                      </w:r>
                      <w:r w:rsidR="00AA2A92">
                        <w:t>.</w:t>
                      </w:r>
                      <w:r>
                        <w:t xml:space="preserve"> Supreme Court recently </w:t>
                      </w:r>
                      <w:hyperlink r:id="rId15" w:history="1">
                        <w:r w:rsidRPr="00D003DA">
                          <w:rPr>
                            <w:rStyle w:val="Hyperlink"/>
                          </w:rPr>
                          <w:t>agreed</w:t>
                        </w:r>
                      </w:hyperlink>
                      <w:r>
                        <w:t xml:space="preserve"> to hear a legal challenge to the Affordable Care Act (ACA). The case involved is </w:t>
                      </w:r>
                      <w:bookmarkStart w:id="2" w:name="_Hlk34041794"/>
                      <w:r w:rsidRPr="00D003DA">
                        <w:rPr>
                          <w:i/>
                        </w:rPr>
                        <w:t>Texas v. Azar</w:t>
                      </w:r>
                      <w:bookmarkEnd w:id="2"/>
                      <w:r>
                        <w:t xml:space="preserve">, a lawsuit challenging the constitutionality of the ACA’s individual mandate. </w:t>
                      </w:r>
                    </w:p>
                    <w:p w:rsidR="008821E9" w:rsidRPr="008821E9" w:rsidRDefault="008D176B" w:rsidP="008821E9">
                      <w:pPr>
                        <w:pStyle w:val="2Header"/>
                      </w:pPr>
                      <w:r w:rsidRPr="008821E9">
                        <w:t xml:space="preserve">ACA Litigation </w:t>
                      </w:r>
                    </w:p>
                    <w:p w:rsidR="00C13860" w:rsidRDefault="008D176B" w:rsidP="008821E9">
                      <w:pPr>
                        <w:spacing w:line="252" w:lineRule="auto"/>
                      </w:pPr>
                      <w:r w:rsidRPr="008821E9">
                        <w:rPr>
                          <w:i/>
                        </w:rPr>
                        <w:t>Texas v. Azar</w:t>
                      </w:r>
                      <w:r w:rsidRPr="008821E9">
                        <w:t xml:space="preserve"> was filed in 2018 by 18 states after the individual mandate penalty was eliminated. In December 2019, a federal appeals court </w:t>
                      </w:r>
                      <w:hyperlink r:id="rId16" w:history="1">
                        <w:r w:rsidRPr="008821E9">
                          <w:rPr>
                            <w:rStyle w:val="Hyperlink"/>
                          </w:rPr>
                          <w:t>ruled</w:t>
                        </w:r>
                      </w:hyperlink>
                      <w:r w:rsidRPr="008821E9">
                        <w:t xml:space="preserve"> in the case that the individual mandate is unconstitutional and directed the lower court to determine whether </w:t>
                      </w:r>
                    </w:p>
                  </w:txbxContent>
                </v:textbox>
                <w10:wrap anchorx="margin"/>
              </v:shape>
            </w:pict>
          </mc:Fallback>
        </mc:AlternateContent>
      </w:r>
      <w:r w:rsidR="00123836">
        <w:rPr>
          <w:noProof/>
        </w:rPr>
        <mc:AlternateContent>
          <mc:Choice Requires="wps">
            <w:drawing>
              <wp:anchor distT="0" distB="0" distL="114300" distR="114300" simplePos="0" relativeHeight="251675648" behindDoc="0" locked="0" layoutInCell="1" allowOverlap="1">
                <wp:simplePos x="0" y="0"/>
                <wp:positionH relativeFrom="margin">
                  <wp:posOffset>-2188991</wp:posOffset>
                </wp:positionH>
                <wp:positionV relativeFrom="page">
                  <wp:posOffset>4506277</wp:posOffset>
                </wp:positionV>
                <wp:extent cx="2705100" cy="487045"/>
                <wp:effectExtent l="4127" t="14923" r="4128" b="4127"/>
                <wp:wrapNone/>
                <wp:docPr id="2" name="Text Box 2"/>
                <wp:cNvGraphicFramePr/>
                <a:graphic xmlns:a="http://schemas.openxmlformats.org/drawingml/2006/main">
                  <a:graphicData uri="http://schemas.microsoft.com/office/word/2010/wordprocessingShape">
                    <wps:wsp>
                      <wps:cNvSpPr txBox="1"/>
                      <wps:spPr>
                        <a:xfrm rot="16200000">
                          <a:off x="0" y="0"/>
                          <a:ext cx="2705100" cy="487045"/>
                        </a:xfrm>
                        <a:prstGeom prst="rect">
                          <a:avLst/>
                        </a:prstGeom>
                        <a:noFill/>
                        <a:ln w="6350">
                          <a:noFill/>
                        </a:ln>
                      </wps:spPr>
                      <wps:txbx>
                        <w:txbxContent>
                          <w:p w:rsidR="00A1062C" w:rsidRPr="00A1062C" w:rsidRDefault="008D176B" w:rsidP="00A1062C">
                            <w:pPr>
                              <w:pStyle w:val="Header"/>
                              <w:jc w:val="center"/>
                              <w:rPr>
                                <w:b/>
                                <w:color w:val="FFFFFF" w:themeColor="background1"/>
                                <w:sz w:val="36"/>
                                <w:szCs w:val="36"/>
                              </w:rPr>
                            </w:pPr>
                            <w:hyperlink r:id="rId17" w:history="1">
                              <w:r w:rsidR="008821E9">
                                <w:rPr>
                                  <w:b/>
                                  <w:color w:val="FFFFFF" w:themeColor="background1"/>
                                  <w:sz w:val="36"/>
                                  <w:szCs w:val="36"/>
                                </w:rPr>
                                <w:t>APRIL</w:t>
                              </w:r>
                            </w:hyperlink>
                            <w:r w:rsidRPr="00A1062C">
                              <w:rPr>
                                <w:b/>
                                <w:color w:val="FFFFFF" w:themeColor="background1"/>
                                <w:sz w:val="36"/>
                                <w:szCs w:val="36"/>
                              </w:rPr>
                              <w:t xml:space="preserve"> 2020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72.35pt;margin-top:354.8pt;width:213pt;height:38.3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" filled="f" stroked="f" strokeweight=".5pt">
                <v:textbox inset="0,,0">
                  <w:txbxContent>
                    <w:p w:rsidR="00A1062C" w:rsidRPr="00A1062C" w:rsidRDefault="008D176B" w:rsidP="00A1062C">
                      <w:pPr>
                        <w:pStyle w:val="Header"/>
                        <w:jc w:val="center"/>
                        <w:rPr>
                          <w:b/>
                          <w:color w:val="FFFFFF" w:themeColor="background1"/>
                          <w:sz w:val="36"/>
                          <w:szCs w:val="36"/>
                        </w:rPr>
                      </w:pPr>
                      <w:hyperlink r:id="rId18" w:history="1">
                        <w:r w:rsidR="008821E9">
                          <w:rPr>
                            <w:b/>
                            <w:color w:val="FFFFFF" w:themeColor="background1"/>
                            <w:sz w:val="36"/>
                            <w:szCs w:val="36"/>
                          </w:rPr>
                          <w:t>APRIL</w:t>
                        </w:r>
                      </w:hyperlink>
                      <w:r w:rsidRPr="00A1062C">
                        <w:rPr>
                          <w:b/>
                          <w:color w:val="FFFFFF" w:themeColor="background1"/>
                          <w:sz w:val="36"/>
                          <w:szCs w:val="36"/>
                        </w:rPr>
                        <w:t xml:space="preserve"> 2020</w:t>
                      </w:r>
                    </w:p>
                  </w:txbxContent>
                </v:textbox>
                <w10:wrap anchorx="margin" anchory="page"/>
              </v:shape>
            </w:pict>
          </mc:Fallback>
        </mc:AlternateContent>
      </w:r>
      <w:r w:rsidR="00D15440">
        <w:rPr>
          <w:noProof/>
        </w:rPr>
        <mc:AlternateContent>
          <mc:Choice Requires="wps">
            <w:drawing>
              <wp:anchor distT="0" distB="0" distL="114300" distR="114300" simplePos="0" relativeHeight="251671552" behindDoc="0" locked="0" layoutInCell="1" allowOverlap="1">
                <wp:simplePos x="0" y="0"/>
                <wp:positionH relativeFrom="margin">
                  <wp:posOffset>-30480</wp:posOffset>
                </wp:positionH>
                <wp:positionV relativeFrom="paragraph">
                  <wp:posOffset>3239135</wp:posOffset>
                </wp:positionV>
                <wp:extent cx="4616450" cy="711835"/>
                <wp:effectExtent l="0" t="0" r="12700" b="0"/>
                <wp:wrapNone/>
                <wp:docPr id="19" name="Text Box 19"/>
                <wp:cNvGraphicFramePr/>
                <a:graphic xmlns:a="http://schemas.openxmlformats.org/drawingml/2006/main">
                  <a:graphicData uri="http://schemas.microsoft.com/office/word/2010/wordprocessingShape">
                    <wps:wsp>
                      <wps:cNvSpPr txBox="1"/>
                      <wps:spPr>
                        <a:xfrm>
                          <a:off x="0" y="0"/>
                          <a:ext cx="4616450" cy="711835"/>
                        </a:xfrm>
                        <a:prstGeom prst="rect">
                          <a:avLst/>
                        </a:prstGeom>
                        <a:noFill/>
                        <a:ln w="6350">
                          <a:noFill/>
                        </a:ln>
                      </wps:spPr>
                      <wps:txbx>
                        <w:txbxContent>
                          <w:p w:rsidR="009C336C" w:rsidRDefault="008D176B" w:rsidP="009C336C">
                            <w:pPr>
                              <w:pStyle w:val="1Header"/>
                            </w:pPr>
                            <w:r>
                              <w:t>No Statute of Limitations Applies for ACA Pay or Play Penalties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2.4pt;margin-top:255.05pt;width:363.5pt;height:56.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" filled="f" stroked="f" strokeweight=".5pt">
                <v:textbox inset="0,,0">
                  <w:txbxContent>
                    <w:p w:rsidR="009C336C" w:rsidRDefault="008D176B" w:rsidP="009C336C">
                      <w:pPr>
                        <w:pStyle w:val="1Header"/>
                      </w:pPr>
                      <w:r>
                        <w:t>No Statute of Limitations Applies for ACA Pay or Play Penalties</w:t>
                      </w:r>
                    </w:p>
                  </w:txbxContent>
                </v:textbox>
                <w10:wrap anchorx="margin"/>
              </v:shape>
            </w:pict>
          </mc:Fallback>
        </mc:AlternateContent>
      </w:r>
      <w:r w:rsidR="00474982">
        <w:rPr>
          <w:noProof/>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-349719</wp:posOffset>
                </wp:positionV>
                <wp:extent cx="4646295" cy="532737"/>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4646295" cy="532737"/>
                        </a:xfrm>
                        <a:prstGeom prst="rect">
                          <a:avLst/>
                        </a:prstGeom>
                        <a:noFill/>
                        <a:ln w="6350">
                          <a:noFill/>
                        </a:ln>
                      </wps:spPr>
                      <wps:txbx>
                        <w:txbxContent>
                          <w:p w:rsidR="009C336C" w:rsidRDefault="008D176B" w:rsidP="009C336C">
                            <w:pPr>
                              <w:pStyle w:val="1Header"/>
                            </w:pPr>
                            <w:r w:rsidRPr="008821E9">
                              <w:t>U.S. Supreme Court Will Hear Challenge to ACA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0;margin-top:-27.55pt;width:365.85pt;height:4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" filled="f" stroked="f" strokeweight=".5pt">
                <v:textbox inset="0,,0">
                  <w:txbxContent>
                    <w:p w:rsidR="009C336C" w:rsidRDefault="008D176B" w:rsidP="009C336C">
                      <w:pPr>
                        <w:pStyle w:val="1Header"/>
                      </w:pPr>
                      <w:r w:rsidRPr="008821E9">
                        <w:t>U.S. Supreme Court Will Hear Challenge to ACA</w:t>
                      </w:r>
                    </w:p>
                  </w:txbxContent>
                </v:textbox>
                <w10:wrap anchorx="margin"/>
              </v:shape>
            </w:pict>
          </mc:Fallback>
        </mc:AlternateContent>
      </w:r>
      <w:r w:rsidR="009054EF">
        <w:rPr>
          <w:noProof/>
        </w:rPr>
        <mc:AlternateContent>
          <mc:Choice Requires="wps">
            <w:drawing>
              <wp:anchor distT="0" distB="0" distL="114300" distR="114300" simplePos="0" relativeHeight="251673600" behindDoc="0" locked="0" layoutInCell="1" allowOverlap="1">
                <wp:simplePos x="0" y="0"/>
                <wp:positionH relativeFrom="margin">
                  <wp:posOffset>2322195</wp:posOffset>
                </wp:positionH>
                <wp:positionV relativeFrom="paragraph">
                  <wp:posOffset>3736340</wp:posOffset>
                </wp:positionV>
                <wp:extent cx="2133600" cy="40005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33600" cy="4000500"/>
                        </a:xfrm>
                        <a:prstGeom prst="rect">
                          <a:avLst/>
                        </a:prstGeom>
                        <a:noFill/>
                        <a:ln w="6350">
                          <a:noFill/>
                        </a:ln>
                      </wps:spPr>
                      <wps:txbx>
                        <w:txbxContent>
                          <w:p w:rsidR="002C70E2" w:rsidRDefault="008D176B" w:rsidP="002C70E2">
                            <w:pPr>
                              <w:pStyle w:val="Body"/>
                            </w:pPr>
                            <w:r w:rsidRPr="005E30A9">
                              <w:t xml:space="preserve">subsidy (either because the ALE does not offer health coverage, or offers coverage that is unaffordable or does not </w:t>
                            </w:r>
                            <w:r w:rsidRPr="005E30A9">
                              <w:t>provide minimum value).</w:t>
                            </w:r>
                          </w:p>
                          <w:p w:rsidR="002C70E2" w:rsidRDefault="008D176B" w:rsidP="002C70E2">
                            <w:pPr>
                              <w:pStyle w:val="Body"/>
                            </w:pPr>
                            <w:r w:rsidRPr="00425774">
                              <w:t>Pay or play penalties are subject to IRS lien and levy enforcement actions. Interest will accrue from the date of the notice and demand</w:t>
                            </w:r>
                            <w:r w:rsidR="00906D26">
                              <w:t>,</w:t>
                            </w:r>
                            <w:r w:rsidRPr="00425774">
                              <w:t xml:space="preserve"> and continue until the ALE pays the total penalty balance due.</w:t>
                            </w:r>
                          </w:p>
                          <w:p w:rsidR="002C70E2" w:rsidRDefault="008D176B" w:rsidP="002C70E2">
                            <w:pPr>
                              <w:pStyle w:val="2Header"/>
                            </w:pPr>
                            <w:r>
                              <w:t>Employer Action Steps</w:t>
                            </w:r>
                          </w:p>
                          <w:p w:rsidR="002C70E2" w:rsidRPr="002C70E2" w:rsidRDefault="008D176B" w:rsidP="002C70E2">
                            <w:pPr>
                              <w:pStyle w:val="Body"/>
                            </w:pPr>
                            <w:r w:rsidRPr="002C70E2">
                              <w:t>Because no</w:t>
                            </w:r>
                            <w:r w:rsidRPr="002C70E2">
                              <w:t xml:space="preserve"> statute of limitations applies, the IRS can assess pay or play penalties for an ALE’s noncompliance many years after the violation occurred. As a result, ALEs will want to be sure that they are complying with these rules for each applicable year.</w:t>
                            </w:r>
                          </w:p>
                          <w:p w:rsidR="002C70E2" w:rsidRDefault="002C70E2" w:rsidP="002C70E2">
                            <w:pPr>
                              <w:pStyle w:val="Body"/>
                            </w:pPr>
                          </w:p>
                          <w:p w:rsidR="002C70E2" w:rsidRDefault="002C70E2" w:rsidP="002C70E2">
                            <w:pPr>
                              <w:pStyle w:val="Body"/>
                            </w:pPr>
                          </w:p>
                          <w:p w:rsidR="002C70E2" w:rsidRDefault="002C70E2" w:rsidP="002C70E2">
                            <w:pPr>
                              <w:pStyle w:val="Body"/>
                            </w:pPr>
                          </w:p>
                          <w:p w:rsidR="009C336C" w:rsidRDefault="009C336C" w:rsidP="003E2CDC">
                            <w:pPr>
                              <w:pStyle w:val="Body"/>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182.85pt;margin-top:294.2pt;width:168pt;height: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" filled="f" stroked="f" strokeweight=".5pt">
                <v:textbox inset="0,,0">
                  <w:txbxContent>
                    <w:p w:rsidR="002C70E2" w:rsidRDefault="008D176B" w:rsidP="002C70E2">
                      <w:pPr>
                        <w:pStyle w:val="Body"/>
                      </w:pPr>
                      <w:r w:rsidRPr="005E30A9">
                        <w:t xml:space="preserve">subsidy (either because the ALE does not offer health coverage, or offers coverage that is unaffordable or does not </w:t>
                      </w:r>
                      <w:r w:rsidRPr="005E30A9">
                        <w:t>provide minimum value).</w:t>
                      </w:r>
                    </w:p>
                    <w:p w:rsidR="002C70E2" w:rsidRDefault="008D176B" w:rsidP="002C70E2">
                      <w:pPr>
                        <w:pStyle w:val="Body"/>
                      </w:pPr>
                      <w:r w:rsidRPr="00425774">
                        <w:t>Pay or play penalties are subject to IRS lien and levy enforcement actions. Interest will accrue from the date of the notice and demand</w:t>
                      </w:r>
                      <w:r w:rsidR="00906D26">
                        <w:t>,</w:t>
                      </w:r>
                      <w:r w:rsidRPr="00425774">
                        <w:t xml:space="preserve"> and continue until the ALE pays the total penalty balance due.</w:t>
                      </w:r>
                    </w:p>
                    <w:p w:rsidR="002C70E2" w:rsidRDefault="008D176B" w:rsidP="002C70E2">
                      <w:pPr>
                        <w:pStyle w:val="2Header"/>
                      </w:pPr>
                      <w:r>
                        <w:t>Employer Action Steps</w:t>
                      </w:r>
                    </w:p>
                    <w:p w:rsidR="002C70E2" w:rsidRPr="002C70E2" w:rsidRDefault="008D176B" w:rsidP="002C70E2">
                      <w:pPr>
                        <w:pStyle w:val="Body"/>
                      </w:pPr>
                      <w:r w:rsidRPr="002C70E2">
                        <w:t>Because no</w:t>
                      </w:r>
                      <w:r w:rsidRPr="002C70E2">
                        <w:t xml:space="preserve"> statute of limitations applies, the IRS can assess pay or play penalties for an ALE’s noncompliance many years after the violation occurred. As a result, ALEs will want to be sure that they are complying with these rules for each applicable year.</w:t>
                      </w:r>
                    </w:p>
                    <w:p w:rsidR="002C70E2" w:rsidRDefault="002C70E2" w:rsidP="002C70E2">
                      <w:pPr>
                        <w:pStyle w:val="Body"/>
                      </w:pPr>
                    </w:p>
                    <w:p w:rsidR="002C70E2" w:rsidRDefault="002C70E2" w:rsidP="002C70E2">
                      <w:pPr>
                        <w:pStyle w:val="Body"/>
                      </w:pPr>
                    </w:p>
                    <w:p w:rsidR="002C70E2" w:rsidRDefault="002C70E2" w:rsidP="002C70E2">
                      <w:pPr>
                        <w:pStyle w:val="Body"/>
                      </w:pPr>
                    </w:p>
                    <w:p w:rsidR="009C336C" w:rsidRDefault="009C336C" w:rsidP="003E2CDC">
                      <w:pPr>
                        <w:pStyle w:val="Body"/>
                      </w:pPr>
                    </w:p>
                  </w:txbxContent>
                </v:textbox>
                <w10:wrap anchorx="margin"/>
              </v:shape>
            </w:pict>
          </mc:Fallback>
        </mc:AlternateContent>
      </w:r>
      <w:r w:rsidR="00C13860" w:rsidRPr="00D001DF">
        <w:rPr>
          <w:noProof/>
        </w:rPr>
        <mc:AlternateContent>
          <mc:Choice Requires="wps">
            <w:drawing>
              <wp:anchor distT="0" distB="0" distL="114300" distR="114300" simplePos="0" relativeHeight="251660288" behindDoc="0" locked="0" layoutInCell="1" allowOverlap="1">
                <wp:simplePos x="0" y="0"/>
                <wp:positionH relativeFrom="margin">
                  <wp:posOffset>998220</wp:posOffset>
                </wp:positionH>
                <wp:positionV relativeFrom="page">
                  <wp:posOffset>9124950</wp:posOffset>
                </wp:positionV>
                <wp:extent cx="2329815" cy="73596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2329815" cy="735965"/>
                        </a:xfrm>
                        <a:prstGeom prst="rect">
                          <a:avLst/>
                        </a:prstGeom>
                        <a:noFill/>
                        <a:ln w="6350">
                          <a:noFill/>
                        </a:ln>
                      </wps:spPr>
                      <wps:txbx>
                        <w:txbxContent>
                          <w:p w:rsidR="00CB25AA" w:rsidRPr="00C13860" w:rsidRDefault="008D176B" w:rsidP="00F90E5E">
                            <w:pPr>
                              <w:spacing w:after="0" w:line="240" w:lineRule="auto"/>
                              <w:jc w:val="center"/>
                              <w:rPr>
                                <w:rFonts w:cstheme="minorHAnsi"/>
                                <w:sz w:val="20"/>
                                <w:szCs w:val="20"/>
                              </w:rPr>
                            </w:pPr>
                            <w:r w:rsidRPr="00C13860">
                              <w:rPr>
                                <w:rFonts w:cstheme="minorHAnsi"/>
                                <w:sz w:val="20"/>
                                <w:szCs w:val="20"/>
                              </w:rPr>
                              <w:t>P</w:t>
                            </w:r>
                            <w:r w:rsidRPr="00C13860">
                              <w:rPr>
                                <w:rFonts w:cstheme="minorHAnsi"/>
                                <w:sz w:val="20"/>
                                <w:szCs w:val="20"/>
                              </w:rPr>
                              <w:t>rovided by</w:t>
                            </w:r>
                          </w:p>
                          <w:p w:rsidR="00CB25AA" w:rsidRPr="00C13860" w:rsidRDefault="008D176B" w:rsidP="00F90E5E">
                            <w:pPr>
                              <w:spacing w:after="0" w:line="240" w:lineRule="auto"/>
                              <w:jc w:val="center"/>
                              <w:rPr>
                                <w:rFonts w:cstheme="minorHAnsi"/>
                                <w:sz w:val="20"/>
                                <w:szCs w:val="20"/>
                              </w:rPr>
                            </w:pPr>
                            <w:r w:rsidRPr="00C13860">
                              <w:rPr>
                                <w:rFonts w:cstheme="minorHAnsi"/>
                                <w:sz w:val="20"/>
                                <w:szCs w:val="20"/>
                              </w:rPr>
                              <w:t>The Richards Group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78.6pt;margin-top:718.5pt;width:183.45pt;height:57.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" filled="f" stroked="f" strokeweight=".5pt">
                <v:textbox>
                  <w:txbxContent>
                    <w:p w:rsidR="00CB25AA" w:rsidRPr="00C13860" w:rsidRDefault="008D176B" w:rsidP="00F90E5E">
                      <w:pPr>
                        <w:spacing w:after="0" w:line="240" w:lineRule="auto"/>
                        <w:jc w:val="center"/>
                        <w:rPr>
                          <w:rFonts w:cstheme="minorHAnsi"/>
                          <w:sz w:val="20"/>
                          <w:szCs w:val="20"/>
                        </w:rPr>
                      </w:pPr>
                      <w:r w:rsidRPr="00C13860">
                        <w:rPr>
                          <w:rFonts w:cstheme="minorHAnsi"/>
                          <w:sz w:val="20"/>
                          <w:szCs w:val="20"/>
                        </w:rPr>
                        <w:t>P</w:t>
                      </w:r>
                      <w:r w:rsidRPr="00C13860">
                        <w:rPr>
                          <w:rFonts w:cstheme="minorHAnsi"/>
                          <w:sz w:val="20"/>
                          <w:szCs w:val="20"/>
                        </w:rPr>
                        <w:t>rovided by</w:t>
                      </w:r>
                    </w:p>
                    <w:p w:rsidR="00CB25AA" w:rsidRPr="00C13860" w:rsidRDefault="008D176B" w:rsidP="00F90E5E">
                      <w:pPr>
                        <w:spacing w:after="0" w:line="240" w:lineRule="auto"/>
                        <w:jc w:val="center"/>
                        <w:rPr>
                          <w:rFonts w:cstheme="minorHAnsi"/>
                          <w:sz w:val="20"/>
                          <w:szCs w:val="20"/>
                        </w:rPr>
                      </w:pPr>
                      <w:r w:rsidRPr="00C13860">
                        <w:rPr>
                          <w:rFonts w:cstheme="minorHAnsi"/>
                          <w:sz w:val="20"/>
                          <w:szCs w:val="20"/>
                        </w:rPr>
                        <w:t>The Richards Group</w:t>
                      </w:r>
                    </w:p>
                  </w:txbxContent>
                </v:textbox>
                <w10:wrap anchorx="margin" anchory="page"/>
              </v:shape>
            </w:pict>
          </mc:Fallback>
        </mc:AlternateContent>
      </w:r>
      <w:r w:rsidR="000A22E5" w:rsidRPr="008D08A1">
        <w:rPr>
          <w:noProof/>
        </w:rPr>
        <mc:AlternateContent>
          <mc:Choice Requires="wps">
            <w:drawing>
              <wp:anchor distT="0" distB="0" distL="114300" distR="114300" simplePos="0" relativeHeight="251661312" behindDoc="1" locked="0" layoutInCell="1" allowOverlap="1">
                <wp:simplePos x="0" y="0"/>
                <wp:positionH relativeFrom="leftMargin">
                  <wp:posOffset>258283</wp:posOffset>
                </wp:positionH>
                <wp:positionV relativeFrom="page">
                  <wp:posOffset>9645015</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0A22E5" w:rsidRPr="000A22E5" w:rsidRDefault="008D176B" w:rsidP="000A22E5">
                            <w:pPr>
                              <w:jc w:val="center"/>
                              <w:rPr>
                                <w:rFonts w:ascii="Arial" w:hAnsi="Arial" w:cs="Arial"/>
                                <w:color w:val="FFFFFF" w:themeColor="background1"/>
                                <w:sz w:val="16"/>
                                <w:szCs w:val="16"/>
                              </w:rPr>
                            </w:pPr>
                            <w:r w:rsidRPr="000A22E5">
                              <w:rPr>
                                <w:rFonts w:ascii="Arial" w:hAnsi="Arial" w:cs="Arial"/>
                                <w:color w:val="FFFFFF" w:themeColor="background1"/>
                                <w:sz w:val="16"/>
                                <w:szCs w:val="16"/>
                              </w:rPr>
                              <w:t>© 20</w:t>
                            </w:r>
                            <w:r w:rsidR="0084422A">
                              <w:rPr>
                                <w:rFonts w:ascii="Arial" w:hAnsi="Arial" w:cs="Arial"/>
                                <w:color w:val="FFFFFF" w:themeColor="background1"/>
                                <w:sz w:val="16"/>
                                <w:szCs w:val="16"/>
                              </w:rPr>
                              <w:t>20</w:t>
                            </w:r>
                            <w:r w:rsidRPr="000A22E5">
                              <w:rPr>
                                <w:rFonts w:ascii="Arial" w:hAnsi="Arial" w:cs="Arial"/>
                                <w:color w:val="FFFFFF" w:themeColor="background1"/>
                                <w:sz w:val="16"/>
                                <w:szCs w:val="16"/>
                              </w:rPr>
                              <w:t xml:space="preserve"> Zywave, Inc. All rights reserved</w:t>
                            </w:r>
                            <w:r w:rsidR="00474982">
                              <w:rPr>
                                <w:rFonts w:ascii="Arial" w:hAnsi="Arial" w:cs="Arial"/>
                                <w:color w:val="FFFFFF" w:themeColor="background1"/>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20.35pt;margin-top:759.45pt;width:163.1pt;height:16.5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" filled="f" stroked="f" strokeweight=".5pt">
                <v:textbox>
                  <w:txbxContent>
                    <w:p w:rsidR="000A22E5" w:rsidRPr="000A22E5" w:rsidRDefault="008D176B" w:rsidP="000A22E5">
                      <w:pPr>
                        <w:jc w:val="center"/>
                        <w:rPr>
                          <w:rFonts w:ascii="Arial" w:hAnsi="Arial" w:cs="Arial"/>
                          <w:color w:val="FFFFFF" w:themeColor="background1"/>
                          <w:sz w:val="16"/>
                          <w:szCs w:val="16"/>
                        </w:rPr>
                      </w:pPr>
                      <w:r w:rsidRPr="000A22E5">
                        <w:rPr>
                          <w:rFonts w:ascii="Arial" w:hAnsi="Arial" w:cs="Arial"/>
                          <w:color w:val="FFFFFF" w:themeColor="background1"/>
                          <w:sz w:val="16"/>
                          <w:szCs w:val="16"/>
                        </w:rPr>
                        <w:t>© 20</w:t>
                      </w:r>
                      <w:r w:rsidR="0084422A">
                        <w:rPr>
                          <w:rFonts w:ascii="Arial" w:hAnsi="Arial" w:cs="Arial"/>
                          <w:color w:val="FFFFFF" w:themeColor="background1"/>
                          <w:sz w:val="16"/>
                          <w:szCs w:val="16"/>
                        </w:rPr>
                        <w:t>20</w:t>
                      </w:r>
                      <w:r w:rsidRPr="000A22E5">
                        <w:rPr>
                          <w:rFonts w:ascii="Arial" w:hAnsi="Arial" w:cs="Arial"/>
                          <w:color w:val="FFFFFF" w:themeColor="background1"/>
                          <w:sz w:val="16"/>
                          <w:szCs w:val="16"/>
                        </w:rPr>
                        <w:t xml:space="preserve"> Zywave, Inc. All rights reserved</w:t>
                      </w:r>
                      <w:r w:rsidR="00474982">
                        <w:rPr>
                          <w:rFonts w:ascii="Arial" w:hAnsi="Arial" w:cs="Arial"/>
                          <w:color w:val="FFFFFF" w:themeColor="background1"/>
                          <w:sz w:val="16"/>
                          <w:szCs w:val="16"/>
                        </w:rPr>
                        <w:t>.</w:t>
                      </w:r>
                    </w:p>
                  </w:txbxContent>
                </v:textbox>
                <w10:wrap anchorx="margin" anchory="page"/>
              </v:shape>
            </w:pict>
          </mc:Fallback>
        </mc:AlternateContent>
      </w:r>
    </w:p>
    <w:sectPr w:rsidR="0096300C" w:rsidRPr="00D001DF" w:rsidSect="006B7630">
      <w:headerReference w:type="default" r:id="rId19"/>
      <w:type w:val="continuous"/>
      <w:pgSz w:w="12240" w:h="15840"/>
      <w:pgMar w:top="432" w:right="720" w:bottom="1440" w:left="4608" w:header="720" w:footer="720" w:gutter="0"/>
      <w:cols w:num="2" w:space="2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D176B">
      <w:pPr>
        <w:spacing w:after="0" w:line="240" w:lineRule="auto"/>
      </w:pPr>
      <w:r>
        <w:separator/>
      </w:r>
    </w:p>
  </w:endnote>
  <w:endnote w:type="continuationSeparator" w:id="0">
    <w:p w:rsidR="00000000" w:rsidRDefault="008D1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D176B">
      <w:pPr>
        <w:spacing w:after="0" w:line="240" w:lineRule="auto"/>
      </w:pPr>
      <w:r>
        <w:separator/>
      </w:r>
    </w:p>
  </w:footnote>
  <w:footnote w:type="continuationSeparator" w:id="0">
    <w:p w:rsidR="00000000" w:rsidRDefault="008D17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E14" w:rsidRDefault="008D176B">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99199"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4378"/>
    <w:multiLevelType w:val="hybridMultilevel"/>
    <w:tmpl w:val="4A6CA8A0"/>
    <w:lvl w:ilvl="0" w:tplc="A2A05DC0">
      <w:start w:val="1"/>
      <w:numFmt w:val="bullet"/>
      <w:lvlText w:val=""/>
      <w:lvlJc w:val="left"/>
      <w:pPr>
        <w:ind w:left="720" w:hanging="360"/>
      </w:pPr>
      <w:rPr>
        <w:rFonts w:ascii="Symbol" w:hAnsi="Symbol" w:hint="default"/>
      </w:rPr>
    </w:lvl>
    <w:lvl w:ilvl="1" w:tplc="0BB47D5C" w:tentative="1">
      <w:start w:val="1"/>
      <w:numFmt w:val="bullet"/>
      <w:lvlText w:val="o"/>
      <w:lvlJc w:val="left"/>
      <w:pPr>
        <w:ind w:left="1440" w:hanging="360"/>
      </w:pPr>
      <w:rPr>
        <w:rFonts w:ascii="Courier New" w:hAnsi="Courier New" w:cs="Courier New" w:hint="default"/>
      </w:rPr>
    </w:lvl>
    <w:lvl w:ilvl="2" w:tplc="91BA19FE" w:tentative="1">
      <w:start w:val="1"/>
      <w:numFmt w:val="bullet"/>
      <w:lvlText w:val=""/>
      <w:lvlJc w:val="left"/>
      <w:pPr>
        <w:ind w:left="2160" w:hanging="360"/>
      </w:pPr>
      <w:rPr>
        <w:rFonts w:ascii="Wingdings" w:hAnsi="Wingdings" w:hint="default"/>
      </w:rPr>
    </w:lvl>
    <w:lvl w:ilvl="3" w:tplc="6E7E4FB4" w:tentative="1">
      <w:start w:val="1"/>
      <w:numFmt w:val="bullet"/>
      <w:lvlText w:val=""/>
      <w:lvlJc w:val="left"/>
      <w:pPr>
        <w:ind w:left="2880" w:hanging="360"/>
      </w:pPr>
      <w:rPr>
        <w:rFonts w:ascii="Symbol" w:hAnsi="Symbol" w:hint="default"/>
      </w:rPr>
    </w:lvl>
    <w:lvl w:ilvl="4" w:tplc="25581068" w:tentative="1">
      <w:start w:val="1"/>
      <w:numFmt w:val="bullet"/>
      <w:lvlText w:val="o"/>
      <w:lvlJc w:val="left"/>
      <w:pPr>
        <w:ind w:left="3600" w:hanging="360"/>
      </w:pPr>
      <w:rPr>
        <w:rFonts w:ascii="Courier New" w:hAnsi="Courier New" w:cs="Courier New" w:hint="default"/>
      </w:rPr>
    </w:lvl>
    <w:lvl w:ilvl="5" w:tplc="E724F694" w:tentative="1">
      <w:start w:val="1"/>
      <w:numFmt w:val="bullet"/>
      <w:lvlText w:val=""/>
      <w:lvlJc w:val="left"/>
      <w:pPr>
        <w:ind w:left="4320" w:hanging="360"/>
      </w:pPr>
      <w:rPr>
        <w:rFonts w:ascii="Wingdings" w:hAnsi="Wingdings" w:hint="default"/>
      </w:rPr>
    </w:lvl>
    <w:lvl w:ilvl="6" w:tplc="273EE9F8" w:tentative="1">
      <w:start w:val="1"/>
      <w:numFmt w:val="bullet"/>
      <w:lvlText w:val=""/>
      <w:lvlJc w:val="left"/>
      <w:pPr>
        <w:ind w:left="5040" w:hanging="360"/>
      </w:pPr>
      <w:rPr>
        <w:rFonts w:ascii="Symbol" w:hAnsi="Symbol" w:hint="default"/>
      </w:rPr>
    </w:lvl>
    <w:lvl w:ilvl="7" w:tplc="60E6E298" w:tentative="1">
      <w:start w:val="1"/>
      <w:numFmt w:val="bullet"/>
      <w:lvlText w:val="o"/>
      <w:lvlJc w:val="left"/>
      <w:pPr>
        <w:ind w:left="5760" w:hanging="360"/>
      </w:pPr>
      <w:rPr>
        <w:rFonts w:ascii="Courier New" w:hAnsi="Courier New" w:cs="Courier New" w:hint="default"/>
      </w:rPr>
    </w:lvl>
    <w:lvl w:ilvl="8" w:tplc="91A62A32" w:tentative="1">
      <w:start w:val="1"/>
      <w:numFmt w:val="bullet"/>
      <w:lvlText w:val=""/>
      <w:lvlJc w:val="left"/>
      <w:pPr>
        <w:ind w:left="6480" w:hanging="360"/>
      </w:pPr>
      <w:rPr>
        <w:rFonts w:ascii="Wingdings" w:hAnsi="Wingdings" w:hint="default"/>
      </w:rPr>
    </w:lvl>
  </w:abstractNum>
  <w:abstractNum w:abstractNumId="1" w15:restartNumberingAfterBreak="0">
    <w:nsid w:val="1C9531B8"/>
    <w:multiLevelType w:val="hybridMultilevel"/>
    <w:tmpl w:val="2FBCC732"/>
    <w:lvl w:ilvl="0" w:tplc="0DCCB5B0">
      <w:start w:val="1"/>
      <w:numFmt w:val="bullet"/>
      <w:lvlText w:val=""/>
      <w:lvlJc w:val="left"/>
      <w:pPr>
        <w:ind w:left="720" w:hanging="360"/>
      </w:pPr>
      <w:rPr>
        <w:rFonts w:ascii="Symbol" w:hAnsi="Symbol" w:hint="default"/>
      </w:rPr>
    </w:lvl>
    <w:lvl w:ilvl="1" w:tplc="946ED3BE" w:tentative="1">
      <w:start w:val="1"/>
      <w:numFmt w:val="bullet"/>
      <w:lvlText w:val="o"/>
      <w:lvlJc w:val="left"/>
      <w:pPr>
        <w:ind w:left="1440" w:hanging="360"/>
      </w:pPr>
      <w:rPr>
        <w:rFonts w:ascii="Courier New" w:hAnsi="Courier New" w:cs="Courier New" w:hint="default"/>
      </w:rPr>
    </w:lvl>
    <w:lvl w:ilvl="2" w:tplc="DD14EB14" w:tentative="1">
      <w:start w:val="1"/>
      <w:numFmt w:val="bullet"/>
      <w:lvlText w:val=""/>
      <w:lvlJc w:val="left"/>
      <w:pPr>
        <w:ind w:left="2160" w:hanging="360"/>
      </w:pPr>
      <w:rPr>
        <w:rFonts w:ascii="Wingdings" w:hAnsi="Wingdings" w:hint="default"/>
      </w:rPr>
    </w:lvl>
    <w:lvl w:ilvl="3" w:tplc="F05C94B2" w:tentative="1">
      <w:start w:val="1"/>
      <w:numFmt w:val="bullet"/>
      <w:lvlText w:val=""/>
      <w:lvlJc w:val="left"/>
      <w:pPr>
        <w:ind w:left="2880" w:hanging="360"/>
      </w:pPr>
      <w:rPr>
        <w:rFonts w:ascii="Symbol" w:hAnsi="Symbol" w:hint="default"/>
      </w:rPr>
    </w:lvl>
    <w:lvl w:ilvl="4" w:tplc="0612564C" w:tentative="1">
      <w:start w:val="1"/>
      <w:numFmt w:val="bullet"/>
      <w:lvlText w:val="o"/>
      <w:lvlJc w:val="left"/>
      <w:pPr>
        <w:ind w:left="3600" w:hanging="360"/>
      </w:pPr>
      <w:rPr>
        <w:rFonts w:ascii="Courier New" w:hAnsi="Courier New" w:cs="Courier New" w:hint="default"/>
      </w:rPr>
    </w:lvl>
    <w:lvl w:ilvl="5" w:tplc="38ACAC8E" w:tentative="1">
      <w:start w:val="1"/>
      <w:numFmt w:val="bullet"/>
      <w:lvlText w:val=""/>
      <w:lvlJc w:val="left"/>
      <w:pPr>
        <w:ind w:left="4320" w:hanging="360"/>
      </w:pPr>
      <w:rPr>
        <w:rFonts w:ascii="Wingdings" w:hAnsi="Wingdings" w:hint="default"/>
      </w:rPr>
    </w:lvl>
    <w:lvl w:ilvl="6" w:tplc="77F42D1A" w:tentative="1">
      <w:start w:val="1"/>
      <w:numFmt w:val="bullet"/>
      <w:lvlText w:val=""/>
      <w:lvlJc w:val="left"/>
      <w:pPr>
        <w:ind w:left="5040" w:hanging="360"/>
      </w:pPr>
      <w:rPr>
        <w:rFonts w:ascii="Symbol" w:hAnsi="Symbol" w:hint="default"/>
      </w:rPr>
    </w:lvl>
    <w:lvl w:ilvl="7" w:tplc="85E40DE2" w:tentative="1">
      <w:start w:val="1"/>
      <w:numFmt w:val="bullet"/>
      <w:lvlText w:val="o"/>
      <w:lvlJc w:val="left"/>
      <w:pPr>
        <w:ind w:left="5760" w:hanging="360"/>
      </w:pPr>
      <w:rPr>
        <w:rFonts w:ascii="Courier New" w:hAnsi="Courier New" w:cs="Courier New" w:hint="default"/>
      </w:rPr>
    </w:lvl>
    <w:lvl w:ilvl="8" w:tplc="03A64DDE" w:tentative="1">
      <w:start w:val="1"/>
      <w:numFmt w:val="bullet"/>
      <w:lvlText w:val=""/>
      <w:lvlJc w:val="left"/>
      <w:pPr>
        <w:ind w:left="6480" w:hanging="360"/>
      </w:pPr>
      <w:rPr>
        <w:rFonts w:ascii="Wingdings" w:hAnsi="Wingdings" w:hint="default"/>
      </w:rPr>
    </w:lvl>
  </w:abstractNum>
  <w:abstractNum w:abstractNumId="2" w15:restartNumberingAfterBreak="0">
    <w:nsid w:val="1DC95092"/>
    <w:multiLevelType w:val="hybridMultilevel"/>
    <w:tmpl w:val="8F4CFAF2"/>
    <w:lvl w:ilvl="0" w:tplc="2F7AA830">
      <w:start w:val="1"/>
      <w:numFmt w:val="bullet"/>
      <w:pStyle w:val="BulletList"/>
      <w:lvlText w:val=""/>
      <w:lvlJc w:val="left"/>
      <w:pPr>
        <w:ind w:left="720" w:hanging="360"/>
      </w:pPr>
      <w:rPr>
        <w:rFonts w:ascii="Symbol" w:hAnsi="Symbol" w:hint="default"/>
      </w:rPr>
    </w:lvl>
    <w:lvl w:ilvl="1" w:tplc="DC2E7962" w:tentative="1">
      <w:start w:val="1"/>
      <w:numFmt w:val="bullet"/>
      <w:lvlText w:val="o"/>
      <w:lvlJc w:val="left"/>
      <w:pPr>
        <w:ind w:left="1440" w:hanging="360"/>
      </w:pPr>
      <w:rPr>
        <w:rFonts w:ascii="Courier New" w:hAnsi="Courier New" w:cs="Courier New" w:hint="default"/>
      </w:rPr>
    </w:lvl>
    <w:lvl w:ilvl="2" w:tplc="41DADA18" w:tentative="1">
      <w:start w:val="1"/>
      <w:numFmt w:val="bullet"/>
      <w:lvlText w:val=""/>
      <w:lvlJc w:val="left"/>
      <w:pPr>
        <w:ind w:left="2160" w:hanging="360"/>
      </w:pPr>
      <w:rPr>
        <w:rFonts w:ascii="Wingdings" w:hAnsi="Wingdings" w:hint="default"/>
      </w:rPr>
    </w:lvl>
    <w:lvl w:ilvl="3" w:tplc="85A81838" w:tentative="1">
      <w:start w:val="1"/>
      <w:numFmt w:val="bullet"/>
      <w:lvlText w:val=""/>
      <w:lvlJc w:val="left"/>
      <w:pPr>
        <w:ind w:left="2880" w:hanging="360"/>
      </w:pPr>
      <w:rPr>
        <w:rFonts w:ascii="Symbol" w:hAnsi="Symbol" w:hint="default"/>
      </w:rPr>
    </w:lvl>
    <w:lvl w:ilvl="4" w:tplc="79D2DD00" w:tentative="1">
      <w:start w:val="1"/>
      <w:numFmt w:val="bullet"/>
      <w:lvlText w:val="o"/>
      <w:lvlJc w:val="left"/>
      <w:pPr>
        <w:ind w:left="3600" w:hanging="360"/>
      </w:pPr>
      <w:rPr>
        <w:rFonts w:ascii="Courier New" w:hAnsi="Courier New" w:cs="Courier New" w:hint="default"/>
      </w:rPr>
    </w:lvl>
    <w:lvl w:ilvl="5" w:tplc="FFA0581C" w:tentative="1">
      <w:start w:val="1"/>
      <w:numFmt w:val="bullet"/>
      <w:lvlText w:val=""/>
      <w:lvlJc w:val="left"/>
      <w:pPr>
        <w:ind w:left="4320" w:hanging="360"/>
      </w:pPr>
      <w:rPr>
        <w:rFonts w:ascii="Wingdings" w:hAnsi="Wingdings" w:hint="default"/>
      </w:rPr>
    </w:lvl>
    <w:lvl w:ilvl="6" w:tplc="7EF896D4" w:tentative="1">
      <w:start w:val="1"/>
      <w:numFmt w:val="bullet"/>
      <w:lvlText w:val=""/>
      <w:lvlJc w:val="left"/>
      <w:pPr>
        <w:ind w:left="5040" w:hanging="360"/>
      </w:pPr>
      <w:rPr>
        <w:rFonts w:ascii="Symbol" w:hAnsi="Symbol" w:hint="default"/>
      </w:rPr>
    </w:lvl>
    <w:lvl w:ilvl="7" w:tplc="D0D62B78" w:tentative="1">
      <w:start w:val="1"/>
      <w:numFmt w:val="bullet"/>
      <w:lvlText w:val="o"/>
      <w:lvlJc w:val="left"/>
      <w:pPr>
        <w:ind w:left="5760" w:hanging="360"/>
      </w:pPr>
      <w:rPr>
        <w:rFonts w:ascii="Courier New" w:hAnsi="Courier New" w:cs="Courier New" w:hint="default"/>
      </w:rPr>
    </w:lvl>
    <w:lvl w:ilvl="8" w:tplc="F7867D7E" w:tentative="1">
      <w:start w:val="1"/>
      <w:numFmt w:val="bullet"/>
      <w:lvlText w:val=""/>
      <w:lvlJc w:val="left"/>
      <w:pPr>
        <w:ind w:left="6480" w:hanging="360"/>
      </w:pPr>
      <w:rPr>
        <w:rFonts w:ascii="Wingdings" w:hAnsi="Wingdings" w:hint="default"/>
      </w:rPr>
    </w:lvl>
  </w:abstractNum>
  <w:abstractNum w:abstractNumId="3" w15:restartNumberingAfterBreak="0">
    <w:nsid w:val="21D634D5"/>
    <w:multiLevelType w:val="hybridMultilevel"/>
    <w:tmpl w:val="27D69602"/>
    <w:lvl w:ilvl="0" w:tplc="944CBE9C">
      <w:start w:val="1"/>
      <w:numFmt w:val="bullet"/>
      <w:lvlText w:val=""/>
      <w:lvlJc w:val="left"/>
      <w:pPr>
        <w:ind w:left="720" w:hanging="360"/>
      </w:pPr>
      <w:rPr>
        <w:rFonts w:ascii="Symbol" w:hAnsi="Symbol" w:hint="default"/>
      </w:rPr>
    </w:lvl>
    <w:lvl w:ilvl="1" w:tplc="E49252EC" w:tentative="1">
      <w:start w:val="1"/>
      <w:numFmt w:val="bullet"/>
      <w:lvlText w:val="o"/>
      <w:lvlJc w:val="left"/>
      <w:pPr>
        <w:ind w:left="1440" w:hanging="360"/>
      </w:pPr>
      <w:rPr>
        <w:rFonts w:ascii="Courier New" w:hAnsi="Courier New" w:cs="Courier New" w:hint="default"/>
      </w:rPr>
    </w:lvl>
    <w:lvl w:ilvl="2" w:tplc="7B145446" w:tentative="1">
      <w:start w:val="1"/>
      <w:numFmt w:val="bullet"/>
      <w:lvlText w:val=""/>
      <w:lvlJc w:val="left"/>
      <w:pPr>
        <w:ind w:left="2160" w:hanging="360"/>
      </w:pPr>
      <w:rPr>
        <w:rFonts w:ascii="Wingdings" w:hAnsi="Wingdings" w:hint="default"/>
      </w:rPr>
    </w:lvl>
    <w:lvl w:ilvl="3" w:tplc="93328FC8" w:tentative="1">
      <w:start w:val="1"/>
      <w:numFmt w:val="bullet"/>
      <w:lvlText w:val=""/>
      <w:lvlJc w:val="left"/>
      <w:pPr>
        <w:ind w:left="2880" w:hanging="360"/>
      </w:pPr>
      <w:rPr>
        <w:rFonts w:ascii="Symbol" w:hAnsi="Symbol" w:hint="default"/>
      </w:rPr>
    </w:lvl>
    <w:lvl w:ilvl="4" w:tplc="791CAC2E" w:tentative="1">
      <w:start w:val="1"/>
      <w:numFmt w:val="bullet"/>
      <w:lvlText w:val="o"/>
      <w:lvlJc w:val="left"/>
      <w:pPr>
        <w:ind w:left="3600" w:hanging="360"/>
      </w:pPr>
      <w:rPr>
        <w:rFonts w:ascii="Courier New" w:hAnsi="Courier New" w:cs="Courier New" w:hint="default"/>
      </w:rPr>
    </w:lvl>
    <w:lvl w:ilvl="5" w:tplc="08ACEE14" w:tentative="1">
      <w:start w:val="1"/>
      <w:numFmt w:val="bullet"/>
      <w:lvlText w:val=""/>
      <w:lvlJc w:val="left"/>
      <w:pPr>
        <w:ind w:left="4320" w:hanging="360"/>
      </w:pPr>
      <w:rPr>
        <w:rFonts w:ascii="Wingdings" w:hAnsi="Wingdings" w:hint="default"/>
      </w:rPr>
    </w:lvl>
    <w:lvl w:ilvl="6" w:tplc="1DF21C06" w:tentative="1">
      <w:start w:val="1"/>
      <w:numFmt w:val="bullet"/>
      <w:lvlText w:val=""/>
      <w:lvlJc w:val="left"/>
      <w:pPr>
        <w:ind w:left="5040" w:hanging="360"/>
      </w:pPr>
      <w:rPr>
        <w:rFonts w:ascii="Symbol" w:hAnsi="Symbol" w:hint="default"/>
      </w:rPr>
    </w:lvl>
    <w:lvl w:ilvl="7" w:tplc="9CEA3052" w:tentative="1">
      <w:start w:val="1"/>
      <w:numFmt w:val="bullet"/>
      <w:lvlText w:val="o"/>
      <w:lvlJc w:val="left"/>
      <w:pPr>
        <w:ind w:left="5760" w:hanging="360"/>
      </w:pPr>
      <w:rPr>
        <w:rFonts w:ascii="Courier New" w:hAnsi="Courier New" w:cs="Courier New" w:hint="default"/>
      </w:rPr>
    </w:lvl>
    <w:lvl w:ilvl="8" w:tplc="486269AC" w:tentative="1">
      <w:start w:val="1"/>
      <w:numFmt w:val="bullet"/>
      <w:lvlText w:val=""/>
      <w:lvlJc w:val="left"/>
      <w:pPr>
        <w:ind w:left="6480" w:hanging="360"/>
      </w:pPr>
      <w:rPr>
        <w:rFonts w:ascii="Wingdings" w:hAnsi="Wingdings" w:hint="default"/>
      </w:rPr>
    </w:lvl>
  </w:abstractNum>
  <w:abstractNum w:abstractNumId="4" w15:restartNumberingAfterBreak="0">
    <w:nsid w:val="22D325C5"/>
    <w:multiLevelType w:val="hybridMultilevel"/>
    <w:tmpl w:val="012433AA"/>
    <w:lvl w:ilvl="0" w:tplc="0450C08E">
      <w:start w:val="1"/>
      <w:numFmt w:val="decimal"/>
      <w:lvlText w:val="%1."/>
      <w:lvlJc w:val="left"/>
      <w:pPr>
        <w:ind w:left="720" w:hanging="360"/>
      </w:pPr>
      <w:rPr>
        <w:b w:val="0"/>
      </w:rPr>
    </w:lvl>
    <w:lvl w:ilvl="1" w:tplc="9CCCC00A" w:tentative="1">
      <w:start w:val="1"/>
      <w:numFmt w:val="lowerLetter"/>
      <w:lvlText w:val="%2."/>
      <w:lvlJc w:val="left"/>
      <w:pPr>
        <w:ind w:left="1440" w:hanging="360"/>
      </w:pPr>
    </w:lvl>
    <w:lvl w:ilvl="2" w:tplc="DDAC9CF8" w:tentative="1">
      <w:start w:val="1"/>
      <w:numFmt w:val="lowerRoman"/>
      <w:lvlText w:val="%3."/>
      <w:lvlJc w:val="right"/>
      <w:pPr>
        <w:ind w:left="2160" w:hanging="180"/>
      </w:pPr>
    </w:lvl>
    <w:lvl w:ilvl="3" w:tplc="7FAEB00A" w:tentative="1">
      <w:start w:val="1"/>
      <w:numFmt w:val="decimal"/>
      <w:lvlText w:val="%4."/>
      <w:lvlJc w:val="left"/>
      <w:pPr>
        <w:ind w:left="2880" w:hanging="360"/>
      </w:pPr>
    </w:lvl>
    <w:lvl w:ilvl="4" w:tplc="132CBE7C" w:tentative="1">
      <w:start w:val="1"/>
      <w:numFmt w:val="lowerLetter"/>
      <w:lvlText w:val="%5."/>
      <w:lvlJc w:val="left"/>
      <w:pPr>
        <w:ind w:left="3600" w:hanging="360"/>
      </w:pPr>
    </w:lvl>
    <w:lvl w:ilvl="5" w:tplc="3D3CB7BA" w:tentative="1">
      <w:start w:val="1"/>
      <w:numFmt w:val="lowerRoman"/>
      <w:lvlText w:val="%6."/>
      <w:lvlJc w:val="right"/>
      <w:pPr>
        <w:ind w:left="4320" w:hanging="180"/>
      </w:pPr>
    </w:lvl>
    <w:lvl w:ilvl="6" w:tplc="D79402E8" w:tentative="1">
      <w:start w:val="1"/>
      <w:numFmt w:val="decimal"/>
      <w:lvlText w:val="%7."/>
      <w:lvlJc w:val="left"/>
      <w:pPr>
        <w:ind w:left="5040" w:hanging="360"/>
      </w:pPr>
    </w:lvl>
    <w:lvl w:ilvl="7" w:tplc="EE9C638C" w:tentative="1">
      <w:start w:val="1"/>
      <w:numFmt w:val="lowerLetter"/>
      <w:lvlText w:val="%8."/>
      <w:lvlJc w:val="left"/>
      <w:pPr>
        <w:ind w:left="5760" w:hanging="360"/>
      </w:pPr>
    </w:lvl>
    <w:lvl w:ilvl="8" w:tplc="66B0034E" w:tentative="1">
      <w:start w:val="1"/>
      <w:numFmt w:val="lowerRoman"/>
      <w:lvlText w:val="%9."/>
      <w:lvlJc w:val="right"/>
      <w:pPr>
        <w:ind w:left="6480" w:hanging="180"/>
      </w:pPr>
    </w:lvl>
  </w:abstractNum>
  <w:abstractNum w:abstractNumId="5" w15:restartNumberingAfterBreak="0">
    <w:nsid w:val="2D0C5AEA"/>
    <w:multiLevelType w:val="hybridMultilevel"/>
    <w:tmpl w:val="A56810E2"/>
    <w:lvl w:ilvl="0" w:tplc="03AEA0E6">
      <w:start w:val="1"/>
      <w:numFmt w:val="decimal"/>
      <w:pStyle w:val="NumberedList"/>
      <w:lvlText w:val="%1."/>
      <w:lvlJc w:val="left"/>
      <w:pPr>
        <w:ind w:left="810" w:hanging="360"/>
      </w:pPr>
      <w:rPr>
        <w:rFonts w:hint="default"/>
        <w:b/>
        <w:i w:val="0"/>
      </w:rPr>
    </w:lvl>
    <w:lvl w:ilvl="1" w:tplc="01BE3D0E" w:tentative="1">
      <w:start w:val="1"/>
      <w:numFmt w:val="lowerLetter"/>
      <w:lvlText w:val="%2."/>
      <w:lvlJc w:val="left"/>
      <w:pPr>
        <w:ind w:left="1530" w:hanging="360"/>
      </w:pPr>
    </w:lvl>
    <w:lvl w:ilvl="2" w:tplc="C624EEDC" w:tentative="1">
      <w:start w:val="1"/>
      <w:numFmt w:val="lowerRoman"/>
      <w:lvlText w:val="%3."/>
      <w:lvlJc w:val="right"/>
      <w:pPr>
        <w:ind w:left="2250" w:hanging="180"/>
      </w:pPr>
    </w:lvl>
    <w:lvl w:ilvl="3" w:tplc="34F2A7BC" w:tentative="1">
      <w:start w:val="1"/>
      <w:numFmt w:val="decimal"/>
      <w:lvlText w:val="%4."/>
      <w:lvlJc w:val="left"/>
      <w:pPr>
        <w:ind w:left="2970" w:hanging="360"/>
      </w:pPr>
    </w:lvl>
    <w:lvl w:ilvl="4" w:tplc="89645D98" w:tentative="1">
      <w:start w:val="1"/>
      <w:numFmt w:val="lowerLetter"/>
      <w:lvlText w:val="%5."/>
      <w:lvlJc w:val="left"/>
      <w:pPr>
        <w:ind w:left="3690" w:hanging="360"/>
      </w:pPr>
    </w:lvl>
    <w:lvl w:ilvl="5" w:tplc="F98E5BC0" w:tentative="1">
      <w:start w:val="1"/>
      <w:numFmt w:val="lowerRoman"/>
      <w:lvlText w:val="%6."/>
      <w:lvlJc w:val="right"/>
      <w:pPr>
        <w:ind w:left="4410" w:hanging="180"/>
      </w:pPr>
    </w:lvl>
    <w:lvl w:ilvl="6" w:tplc="34D2DDE0" w:tentative="1">
      <w:start w:val="1"/>
      <w:numFmt w:val="decimal"/>
      <w:lvlText w:val="%7."/>
      <w:lvlJc w:val="left"/>
      <w:pPr>
        <w:ind w:left="5130" w:hanging="360"/>
      </w:pPr>
    </w:lvl>
    <w:lvl w:ilvl="7" w:tplc="530ED032" w:tentative="1">
      <w:start w:val="1"/>
      <w:numFmt w:val="lowerLetter"/>
      <w:lvlText w:val="%8."/>
      <w:lvlJc w:val="left"/>
      <w:pPr>
        <w:ind w:left="5850" w:hanging="360"/>
      </w:pPr>
    </w:lvl>
    <w:lvl w:ilvl="8" w:tplc="B024EA9C" w:tentative="1">
      <w:start w:val="1"/>
      <w:numFmt w:val="lowerRoman"/>
      <w:lvlText w:val="%9."/>
      <w:lvlJc w:val="right"/>
      <w:pPr>
        <w:ind w:left="6570" w:hanging="180"/>
      </w:pPr>
    </w:lvl>
  </w:abstractNum>
  <w:abstractNum w:abstractNumId="6" w15:restartNumberingAfterBreak="0">
    <w:nsid w:val="3EC41826"/>
    <w:multiLevelType w:val="hybridMultilevel"/>
    <w:tmpl w:val="9050CA3E"/>
    <w:lvl w:ilvl="0" w:tplc="AD7048B8">
      <w:start w:val="3"/>
      <w:numFmt w:val="decimal"/>
      <w:lvlText w:val="%1."/>
      <w:lvlJc w:val="left"/>
      <w:pPr>
        <w:ind w:left="720" w:hanging="360"/>
      </w:pPr>
      <w:rPr>
        <w:rFonts w:hint="default"/>
        <w:b w:val="0"/>
      </w:rPr>
    </w:lvl>
    <w:lvl w:ilvl="1" w:tplc="365853CE" w:tentative="1">
      <w:start w:val="1"/>
      <w:numFmt w:val="lowerLetter"/>
      <w:lvlText w:val="%2."/>
      <w:lvlJc w:val="left"/>
      <w:pPr>
        <w:ind w:left="1440" w:hanging="360"/>
      </w:pPr>
    </w:lvl>
    <w:lvl w:ilvl="2" w:tplc="6FEE7B4A" w:tentative="1">
      <w:start w:val="1"/>
      <w:numFmt w:val="lowerRoman"/>
      <w:lvlText w:val="%3."/>
      <w:lvlJc w:val="right"/>
      <w:pPr>
        <w:ind w:left="2160" w:hanging="180"/>
      </w:pPr>
    </w:lvl>
    <w:lvl w:ilvl="3" w:tplc="52529B06" w:tentative="1">
      <w:start w:val="1"/>
      <w:numFmt w:val="decimal"/>
      <w:lvlText w:val="%4."/>
      <w:lvlJc w:val="left"/>
      <w:pPr>
        <w:ind w:left="2880" w:hanging="360"/>
      </w:pPr>
    </w:lvl>
    <w:lvl w:ilvl="4" w:tplc="C672B44E" w:tentative="1">
      <w:start w:val="1"/>
      <w:numFmt w:val="lowerLetter"/>
      <w:lvlText w:val="%5."/>
      <w:lvlJc w:val="left"/>
      <w:pPr>
        <w:ind w:left="3600" w:hanging="360"/>
      </w:pPr>
    </w:lvl>
    <w:lvl w:ilvl="5" w:tplc="B0F2BD84" w:tentative="1">
      <w:start w:val="1"/>
      <w:numFmt w:val="lowerRoman"/>
      <w:lvlText w:val="%6."/>
      <w:lvlJc w:val="right"/>
      <w:pPr>
        <w:ind w:left="4320" w:hanging="180"/>
      </w:pPr>
    </w:lvl>
    <w:lvl w:ilvl="6" w:tplc="E654E0FA" w:tentative="1">
      <w:start w:val="1"/>
      <w:numFmt w:val="decimal"/>
      <w:lvlText w:val="%7."/>
      <w:lvlJc w:val="left"/>
      <w:pPr>
        <w:ind w:left="5040" w:hanging="360"/>
      </w:pPr>
    </w:lvl>
    <w:lvl w:ilvl="7" w:tplc="76BA5898" w:tentative="1">
      <w:start w:val="1"/>
      <w:numFmt w:val="lowerLetter"/>
      <w:lvlText w:val="%8."/>
      <w:lvlJc w:val="left"/>
      <w:pPr>
        <w:ind w:left="5760" w:hanging="360"/>
      </w:pPr>
    </w:lvl>
    <w:lvl w:ilvl="8" w:tplc="16F28746" w:tentative="1">
      <w:start w:val="1"/>
      <w:numFmt w:val="lowerRoman"/>
      <w:lvlText w:val="%9."/>
      <w:lvlJc w:val="right"/>
      <w:pPr>
        <w:ind w:left="6480" w:hanging="180"/>
      </w:pPr>
    </w:lvl>
  </w:abstractNum>
  <w:abstractNum w:abstractNumId="7" w15:restartNumberingAfterBreak="0">
    <w:nsid w:val="467419BC"/>
    <w:multiLevelType w:val="hybridMultilevel"/>
    <w:tmpl w:val="EE4CA336"/>
    <w:lvl w:ilvl="0" w:tplc="3DFC39B4">
      <w:start w:val="1"/>
      <w:numFmt w:val="bullet"/>
      <w:pStyle w:val="Bullet"/>
      <w:lvlText w:val=""/>
      <w:lvlJc w:val="left"/>
      <w:pPr>
        <w:ind w:left="720" w:hanging="360"/>
      </w:pPr>
      <w:rPr>
        <w:rFonts w:ascii="Symbol" w:hAnsi="Symbol" w:hint="default"/>
        <w:color w:val="CE2C43"/>
      </w:rPr>
    </w:lvl>
    <w:lvl w:ilvl="1" w:tplc="26389FD6">
      <w:start w:val="1"/>
      <w:numFmt w:val="bullet"/>
      <w:lvlText w:val="o"/>
      <w:lvlJc w:val="left"/>
      <w:pPr>
        <w:ind w:left="1440" w:hanging="360"/>
      </w:pPr>
      <w:rPr>
        <w:rFonts w:ascii="Courier New" w:hAnsi="Courier New" w:cs="Courier New" w:hint="default"/>
      </w:rPr>
    </w:lvl>
    <w:lvl w:ilvl="2" w:tplc="6660F374">
      <w:start w:val="1"/>
      <w:numFmt w:val="bullet"/>
      <w:lvlText w:val=""/>
      <w:lvlJc w:val="left"/>
      <w:pPr>
        <w:ind w:left="2160" w:hanging="360"/>
      </w:pPr>
      <w:rPr>
        <w:rFonts w:ascii="Wingdings" w:hAnsi="Wingdings" w:hint="default"/>
      </w:rPr>
    </w:lvl>
    <w:lvl w:ilvl="3" w:tplc="52CCCB60" w:tentative="1">
      <w:start w:val="1"/>
      <w:numFmt w:val="bullet"/>
      <w:lvlText w:val=""/>
      <w:lvlJc w:val="left"/>
      <w:pPr>
        <w:ind w:left="2880" w:hanging="360"/>
      </w:pPr>
      <w:rPr>
        <w:rFonts w:ascii="Symbol" w:hAnsi="Symbol" w:hint="default"/>
      </w:rPr>
    </w:lvl>
    <w:lvl w:ilvl="4" w:tplc="B84E2518" w:tentative="1">
      <w:start w:val="1"/>
      <w:numFmt w:val="bullet"/>
      <w:lvlText w:val="o"/>
      <w:lvlJc w:val="left"/>
      <w:pPr>
        <w:ind w:left="3600" w:hanging="360"/>
      </w:pPr>
      <w:rPr>
        <w:rFonts w:ascii="Courier New" w:hAnsi="Courier New" w:cs="Courier New" w:hint="default"/>
      </w:rPr>
    </w:lvl>
    <w:lvl w:ilvl="5" w:tplc="5EFC72C0" w:tentative="1">
      <w:start w:val="1"/>
      <w:numFmt w:val="bullet"/>
      <w:lvlText w:val=""/>
      <w:lvlJc w:val="left"/>
      <w:pPr>
        <w:ind w:left="4320" w:hanging="360"/>
      </w:pPr>
      <w:rPr>
        <w:rFonts w:ascii="Wingdings" w:hAnsi="Wingdings" w:hint="default"/>
      </w:rPr>
    </w:lvl>
    <w:lvl w:ilvl="6" w:tplc="BC020954" w:tentative="1">
      <w:start w:val="1"/>
      <w:numFmt w:val="bullet"/>
      <w:lvlText w:val=""/>
      <w:lvlJc w:val="left"/>
      <w:pPr>
        <w:ind w:left="5040" w:hanging="360"/>
      </w:pPr>
      <w:rPr>
        <w:rFonts w:ascii="Symbol" w:hAnsi="Symbol" w:hint="default"/>
      </w:rPr>
    </w:lvl>
    <w:lvl w:ilvl="7" w:tplc="1CC87646" w:tentative="1">
      <w:start w:val="1"/>
      <w:numFmt w:val="bullet"/>
      <w:lvlText w:val="o"/>
      <w:lvlJc w:val="left"/>
      <w:pPr>
        <w:ind w:left="5760" w:hanging="360"/>
      </w:pPr>
      <w:rPr>
        <w:rFonts w:ascii="Courier New" w:hAnsi="Courier New" w:cs="Courier New" w:hint="default"/>
      </w:rPr>
    </w:lvl>
    <w:lvl w:ilvl="8" w:tplc="FE940640" w:tentative="1">
      <w:start w:val="1"/>
      <w:numFmt w:val="bullet"/>
      <w:lvlText w:val=""/>
      <w:lvlJc w:val="left"/>
      <w:pPr>
        <w:ind w:left="6480" w:hanging="360"/>
      </w:pPr>
      <w:rPr>
        <w:rFonts w:ascii="Wingdings" w:hAnsi="Wingdings" w:hint="default"/>
      </w:rPr>
    </w:lvl>
  </w:abstractNum>
  <w:abstractNum w:abstractNumId="8" w15:restartNumberingAfterBreak="0">
    <w:nsid w:val="59E20EE8"/>
    <w:multiLevelType w:val="hybridMultilevel"/>
    <w:tmpl w:val="66F43E7A"/>
    <w:lvl w:ilvl="0" w:tplc="746E254C">
      <w:start w:val="1"/>
      <w:numFmt w:val="bullet"/>
      <w:lvlText w:val=""/>
      <w:lvlJc w:val="left"/>
      <w:pPr>
        <w:ind w:left="720" w:hanging="360"/>
      </w:pPr>
      <w:rPr>
        <w:rFonts w:ascii="Symbol" w:hAnsi="Symbol" w:hint="default"/>
      </w:rPr>
    </w:lvl>
    <w:lvl w:ilvl="1" w:tplc="1EBC8AFA" w:tentative="1">
      <w:start w:val="1"/>
      <w:numFmt w:val="bullet"/>
      <w:lvlText w:val="o"/>
      <w:lvlJc w:val="left"/>
      <w:pPr>
        <w:ind w:left="1440" w:hanging="360"/>
      </w:pPr>
      <w:rPr>
        <w:rFonts w:ascii="Courier New" w:hAnsi="Courier New" w:cs="Courier New" w:hint="default"/>
      </w:rPr>
    </w:lvl>
    <w:lvl w:ilvl="2" w:tplc="098A6B5E" w:tentative="1">
      <w:start w:val="1"/>
      <w:numFmt w:val="bullet"/>
      <w:lvlText w:val=""/>
      <w:lvlJc w:val="left"/>
      <w:pPr>
        <w:ind w:left="2160" w:hanging="360"/>
      </w:pPr>
      <w:rPr>
        <w:rFonts w:ascii="Wingdings" w:hAnsi="Wingdings" w:hint="default"/>
      </w:rPr>
    </w:lvl>
    <w:lvl w:ilvl="3" w:tplc="80305312" w:tentative="1">
      <w:start w:val="1"/>
      <w:numFmt w:val="bullet"/>
      <w:lvlText w:val=""/>
      <w:lvlJc w:val="left"/>
      <w:pPr>
        <w:ind w:left="2880" w:hanging="360"/>
      </w:pPr>
      <w:rPr>
        <w:rFonts w:ascii="Symbol" w:hAnsi="Symbol" w:hint="default"/>
      </w:rPr>
    </w:lvl>
    <w:lvl w:ilvl="4" w:tplc="60040C04" w:tentative="1">
      <w:start w:val="1"/>
      <w:numFmt w:val="bullet"/>
      <w:lvlText w:val="o"/>
      <w:lvlJc w:val="left"/>
      <w:pPr>
        <w:ind w:left="3600" w:hanging="360"/>
      </w:pPr>
      <w:rPr>
        <w:rFonts w:ascii="Courier New" w:hAnsi="Courier New" w:cs="Courier New" w:hint="default"/>
      </w:rPr>
    </w:lvl>
    <w:lvl w:ilvl="5" w:tplc="349CC7D6" w:tentative="1">
      <w:start w:val="1"/>
      <w:numFmt w:val="bullet"/>
      <w:lvlText w:val=""/>
      <w:lvlJc w:val="left"/>
      <w:pPr>
        <w:ind w:left="4320" w:hanging="360"/>
      </w:pPr>
      <w:rPr>
        <w:rFonts w:ascii="Wingdings" w:hAnsi="Wingdings" w:hint="default"/>
      </w:rPr>
    </w:lvl>
    <w:lvl w:ilvl="6" w:tplc="D22ED598" w:tentative="1">
      <w:start w:val="1"/>
      <w:numFmt w:val="bullet"/>
      <w:lvlText w:val=""/>
      <w:lvlJc w:val="left"/>
      <w:pPr>
        <w:ind w:left="5040" w:hanging="360"/>
      </w:pPr>
      <w:rPr>
        <w:rFonts w:ascii="Symbol" w:hAnsi="Symbol" w:hint="default"/>
      </w:rPr>
    </w:lvl>
    <w:lvl w:ilvl="7" w:tplc="D5BC4670" w:tentative="1">
      <w:start w:val="1"/>
      <w:numFmt w:val="bullet"/>
      <w:lvlText w:val="o"/>
      <w:lvlJc w:val="left"/>
      <w:pPr>
        <w:ind w:left="5760" w:hanging="360"/>
      </w:pPr>
      <w:rPr>
        <w:rFonts w:ascii="Courier New" w:hAnsi="Courier New" w:cs="Courier New" w:hint="default"/>
      </w:rPr>
    </w:lvl>
    <w:lvl w:ilvl="8" w:tplc="A29CD330" w:tentative="1">
      <w:start w:val="1"/>
      <w:numFmt w:val="bullet"/>
      <w:lvlText w:val=""/>
      <w:lvlJc w:val="left"/>
      <w:pPr>
        <w:ind w:left="6480" w:hanging="360"/>
      </w:pPr>
      <w:rPr>
        <w:rFonts w:ascii="Wingdings" w:hAnsi="Wingdings" w:hint="default"/>
      </w:rPr>
    </w:lvl>
  </w:abstractNum>
  <w:abstractNum w:abstractNumId="9" w15:restartNumberingAfterBreak="0">
    <w:nsid w:val="62CF7BF7"/>
    <w:multiLevelType w:val="hybridMultilevel"/>
    <w:tmpl w:val="3062703C"/>
    <w:lvl w:ilvl="0" w:tplc="02224D42">
      <w:start w:val="1"/>
      <w:numFmt w:val="bullet"/>
      <w:lvlText w:val=""/>
      <w:lvlJc w:val="left"/>
      <w:pPr>
        <w:ind w:left="720" w:hanging="360"/>
      </w:pPr>
      <w:rPr>
        <w:rFonts w:ascii="Symbol" w:hAnsi="Symbol" w:hint="default"/>
      </w:rPr>
    </w:lvl>
    <w:lvl w:ilvl="1" w:tplc="549C6192" w:tentative="1">
      <w:start w:val="1"/>
      <w:numFmt w:val="bullet"/>
      <w:lvlText w:val="o"/>
      <w:lvlJc w:val="left"/>
      <w:pPr>
        <w:ind w:left="1440" w:hanging="360"/>
      </w:pPr>
      <w:rPr>
        <w:rFonts w:ascii="Courier New" w:hAnsi="Courier New" w:cs="Courier New" w:hint="default"/>
      </w:rPr>
    </w:lvl>
    <w:lvl w:ilvl="2" w:tplc="AD9E219A" w:tentative="1">
      <w:start w:val="1"/>
      <w:numFmt w:val="bullet"/>
      <w:lvlText w:val=""/>
      <w:lvlJc w:val="left"/>
      <w:pPr>
        <w:ind w:left="2160" w:hanging="360"/>
      </w:pPr>
      <w:rPr>
        <w:rFonts w:ascii="Wingdings" w:hAnsi="Wingdings" w:hint="default"/>
      </w:rPr>
    </w:lvl>
    <w:lvl w:ilvl="3" w:tplc="99A28BB2" w:tentative="1">
      <w:start w:val="1"/>
      <w:numFmt w:val="bullet"/>
      <w:lvlText w:val=""/>
      <w:lvlJc w:val="left"/>
      <w:pPr>
        <w:ind w:left="2880" w:hanging="360"/>
      </w:pPr>
      <w:rPr>
        <w:rFonts w:ascii="Symbol" w:hAnsi="Symbol" w:hint="default"/>
      </w:rPr>
    </w:lvl>
    <w:lvl w:ilvl="4" w:tplc="9B823092" w:tentative="1">
      <w:start w:val="1"/>
      <w:numFmt w:val="bullet"/>
      <w:lvlText w:val="o"/>
      <w:lvlJc w:val="left"/>
      <w:pPr>
        <w:ind w:left="3600" w:hanging="360"/>
      </w:pPr>
      <w:rPr>
        <w:rFonts w:ascii="Courier New" w:hAnsi="Courier New" w:cs="Courier New" w:hint="default"/>
      </w:rPr>
    </w:lvl>
    <w:lvl w:ilvl="5" w:tplc="C622A9BE" w:tentative="1">
      <w:start w:val="1"/>
      <w:numFmt w:val="bullet"/>
      <w:lvlText w:val=""/>
      <w:lvlJc w:val="left"/>
      <w:pPr>
        <w:ind w:left="4320" w:hanging="360"/>
      </w:pPr>
      <w:rPr>
        <w:rFonts w:ascii="Wingdings" w:hAnsi="Wingdings" w:hint="default"/>
      </w:rPr>
    </w:lvl>
    <w:lvl w:ilvl="6" w:tplc="7A14F086" w:tentative="1">
      <w:start w:val="1"/>
      <w:numFmt w:val="bullet"/>
      <w:lvlText w:val=""/>
      <w:lvlJc w:val="left"/>
      <w:pPr>
        <w:ind w:left="5040" w:hanging="360"/>
      </w:pPr>
      <w:rPr>
        <w:rFonts w:ascii="Symbol" w:hAnsi="Symbol" w:hint="default"/>
      </w:rPr>
    </w:lvl>
    <w:lvl w:ilvl="7" w:tplc="F814CBBA" w:tentative="1">
      <w:start w:val="1"/>
      <w:numFmt w:val="bullet"/>
      <w:lvlText w:val="o"/>
      <w:lvlJc w:val="left"/>
      <w:pPr>
        <w:ind w:left="5760" w:hanging="360"/>
      </w:pPr>
      <w:rPr>
        <w:rFonts w:ascii="Courier New" w:hAnsi="Courier New" w:cs="Courier New" w:hint="default"/>
      </w:rPr>
    </w:lvl>
    <w:lvl w:ilvl="8" w:tplc="51E66B0A" w:tentative="1">
      <w:start w:val="1"/>
      <w:numFmt w:val="bullet"/>
      <w:lvlText w:val=""/>
      <w:lvlJc w:val="left"/>
      <w:pPr>
        <w:ind w:left="6480" w:hanging="360"/>
      </w:pPr>
      <w:rPr>
        <w:rFonts w:ascii="Wingdings" w:hAnsi="Wingdings" w:hint="default"/>
      </w:rPr>
    </w:lvl>
  </w:abstractNum>
  <w:abstractNum w:abstractNumId="10" w15:restartNumberingAfterBreak="0">
    <w:nsid w:val="695D6A28"/>
    <w:multiLevelType w:val="hybridMultilevel"/>
    <w:tmpl w:val="F22E57F0"/>
    <w:lvl w:ilvl="0" w:tplc="BEDA3462">
      <w:start w:val="1"/>
      <w:numFmt w:val="bullet"/>
      <w:pStyle w:val="BulletedList"/>
      <w:lvlText w:val=""/>
      <w:lvlJc w:val="left"/>
      <w:pPr>
        <w:ind w:left="720" w:hanging="360"/>
      </w:pPr>
      <w:rPr>
        <w:rFonts w:ascii="Wingdings" w:hAnsi="Wingdings" w:hint="default"/>
      </w:rPr>
    </w:lvl>
    <w:lvl w:ilvl="1" w:tplc="1602B0D0" w:tentative="1">
      <w:start w:val="1"/>
      <w:numFmt w:val="bullet"/>
      <w:lvlText w:val="o"/>
      <w:lvlJc w:val="left"/>
      <w:pPr>
        <w:ind w:left="1440" w:hanging="360"/>
      </w:pPr>
      <w:rPr>
        <w:rFonts w:ascii="Courier New" w:hAnsi="Courier New" w:cs="Courier New" w:hint="default"/>
      </w:rPr>
    </w:lvl>
    <w:lvl w:ilvl="2" w:tplc="9D6472BE" w:tentative="1">
      <w:start w:val="1"/>
      <w:numFmt w:val="bullet"/>
      <w:lvlText w:val=""/>
      <w:lvlJc w:val="left"/>
      <w:pPr>
        <w:ind w:left="2160" w:hanging="360"/>
      </w:pPr>
      <w:rPr>
        <w:rFonts w:ascii="Wingdings" w:hAnsi="Wingdings" w:hint="default"/>
      </w:rPr>
    </w:lvl>
    <w:lvl w:ilvl="3" w:tplc="7C8A3978" w:tentative="1">
      <w:start w:val="1"/>
      <w:numFmt w:val="bullet"/>
      <w:lvlText w:val=""/>
      <w:lvlJc w:val="left"/>
      <w:pPr>
        <w:ind w:left="2880" w:hanging="360"/>
      </w:pPr>
      <w:rPr>
        <w:rFonts w:ascii="Symbol" w:hAnsi="Symbol" w:hint="default"/>
      </w:rPr>
    </w:lvl>
    <w:lvl w:ilvl="4" w:tplc="074C601C" w:tentative="1">
      <w:start w:val="1"/>
      <w:numFmt w:val="bullet"/>
      <w:lvlText w:val="o"/>
      <w:lvlJc w:val="left"/>
      <w:pPr>
        <w:ind w:left="3600" w:hanging="360"/>
      </w:pPr>
      <w:rPr>
        <w:rFonts w:ascii="Courier New" w:hAnsi="Courier New" w:cs="Courier New" w:hint="default"/>
      </w:rPr>
    </w:lvl>
    <w:lvl w:ilvl="5" w:tplc="A43042B6" w:tentative="1">
      <w:start w:val="1"/>
      <w:numFmt w:val="bullet"/>
      <w:lvlText w:val=""/>
      <w:lvlJc w:val="left"/>
      <w:pPr>
        <w:ind w:left="4320" w:hanging="360"/>
      </w:pPr>
      <w:rPr>
        <w:rFonts w:ascii="Wingdings" w:hAnsi="Wingdings" w:hint="default"/>
      </w:rPr>
    </w:lvl>
    <w:lvl w:ilvl="6" w:tplc="BD527B0E" w:tentative="1">
      <w:start w:val="1"/>
      <w:numFmt w:val="bullet"/>
      <w:lvlText w:val=""/>
      <w:lvlJc w:val="left"/>
      <w:pPr>
        <w:ind w:left="5040" w:hanging="360"/>
      </w:pPr>
      <w:rPr>
        <w:rFonts w:ascii="Symbol" w:hAnsi="Symbol" w:hint="default"/>
      </w:rPr>
    </w:lvl>
    <w:lvl w:ilvl="7" w:tplc="2318DB56" w:tentative="1">
      <w:start w:val="1"/>
      <w:numFmt w:val="bullet"/>
      <w:lvlText w:val="o"/>
      <w:lvlJc w:val="left"/>
      <w:pPr>
        <w:ind w:left="5760" w:hanging="360"/>
      </w:pPr>
      <w:rPr>
        <w:rFonts w:ascii="Courier New" w:hAnsi="Courier New" w:cs="Courier New" w:hint="default"/>
      </w:rPr>
    </w:lvl>
    <w:lvl w:ilvl="8" w:tplc="3548938A"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
  </w:num>
  <w:num w:numId="4">
    <w:abstractNumId w:val="0"/>
  </w:num>
  <w:num w:numId="5">
    <w:abstractNumId w:val="9"/>
  </w:num>
  <w:num w:numId="6">
    <w:abstractNumId w:val="2"/>
  </w:num>
  <w:num w:numId="7">
    <w:abstractNumId w:val="4"/>
  </w:num>
  <w:num w:numId="8">
    <w:abstractNumId w:val="6"/>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0tjQyNzUyNrIwNzNS0lEKTi0uzszPAykwNKwFAGYwTi8tAAAA"/>
  </w:docVars>
  <w:rsids>
    <w:rsidRoot w:val="00C13860"/>
    <w:rsid w:val="000207F2"/>
    <w:rsid w:val="000656D2"/>
    <w:rsid w:val="0008042F"/>
    <w:rsid w:val="00096676"/>
    <w:rsid w:val="000A1A7C"/>
    <w:rsid w:val="000A22E5"/>
    <w:rsid w:val="000C7DE9"/>
    <w:rsid w:val="000F08E0"/>
    <w:rsid w:val="001213A0"/>
    <w:rsid w:val="00123836"/>
    <w:rsid w:val="0013564A"/>
    <w:rsid w:val="00150A08"/>
    <w:rsid w:val="00185FD8"/>
    <w:rsid w:val="001932BA"/>
    <w:rsid w:val="001A6F73"/>
    <w:rsid w:val="001B1759"/>
    <w:rsid w:val="001D5A30"/>
    <w:rsid w:val="001F619A"/>
    <w:rsid w:val="0020115E"/>
    <w:rsid w:val="00202F1B"/>
    <w:rsid w:val="0023200C"/>
    <w:rsid w:val="00292AF2"/>
    <w:rsid w:val="002A7C8B"/>
    <w:rsid w:val="002B67A3"/>
    <w:rsid w:val="002B6B23"/>
    <w:rsid w:val="002C70E2"/>
    <w:rsid w:val="002F38B6"/>
    <w:rsid w:val="00317064"/>
    <w:rsid w:val="00366D61"/>
    <w:rsid w:val="003E2CDC"/>
    <w:rsid w:val="004178A1"/>
    <w:rsid w:val="00425774"/>
    <w:rsid w:val="004431DE"/>
    <w:rsid w:val="00450F07"/>
    <w:rsid w:val="0045285D"/>
    <w:rsid w:val="004635DB"/>
    <w:rsid w:val="00466934"/>
    <w:rsid w:val="00474982"/>
    <w:rsid w:val="004B0128"/>
    <w:rsid w:val="004C2C14"/>
    <w:rsid w:val="004F41C3"/>
    <w:rsid w:val="0051484C"/>
    <w:rsid w:val="005259E6"/>
    <w:rsid w:val="0053575D"/>
    <w:rsid w:val="005455C0"/>
    <w:rsid w:val="005617BE"/>
    <w:rsid w:val="00587E00"/>
    <w:rsid w:val="005D59F3"/>
    <w:rsid w:val="005E30A9"/>
    <w:rsid w:val="00607E4B"/>
    <w:rsid w:val="00624F40"/>
    <w:rsid w:val="00680B77"/>
    <w:rsid w:val="006A7BA6"/>
    <w:rsid w:val="006B7630"/>
    <w:rsid w:val="006D7A70"/>
    <w:rsid w:val="00704495"/>
    <w:rsid w:val="00736302"/>
    <w:rsid w:val="00792C11"/>
    <w:rsid w:val="00792F89"/>
    <w:rsid w:val="007A3F0C"/>
    <w:rsid w:val="008265F1"/>
    <w:rsid w:val="00841C46"/>
    <w:rsid w:val="0084422A"/>
    <w:rsid w:val="008821E9"/>
    <w:rsid w:val="00892E0B"/>
    <w:rsid w:val="008A0B9A"/>
    <w:rsid w:val="008A674C"/>
    <w:rsid w:val="008A740E"/>
    <w:rsid w:val="008B0BCC"/>
    <w:rsid w:val="008B636A"/>
    <w:rsid w:val="008D0E14"/>
    <w:rsid w:val="008D176B"/>
    <w:rsid w:val="008F5DE8"/>
    <w:rsid w:val="009054EF"/>
    <w:rsid w:val="00906D26"/>
    <w:rsid w:val="00954CD0"/>
    <w:rsid w:val="0096300C"/>
    <w:rsid w:val="00970778"/>
    <w:rsid w:val="00974F0E"/>
    <w:rsid w:val="00986B93"/>
    <w:rsid w:val="00987F68"/>
    <w:rsid w:val="009977B0"/>
    <w:rsid w:val="009A734D"/>
    <w:rsid w:val="009C336C"/>
    <w:rsid w:val="00A02321"/>
    <w:rsid w:val="00A1062C"/>
    <w:rsid w:val="00A16E52"/>
    <w:rsid w:val="00A30C21"/>
    <w:rsid w:val="00A57169"/>
    <w:rsid w:val="00A6796C"/>
    <w:rsid w:val="00A704E0"/>
    <w:rsid w:val="00A74844"/>
    <w:rsid w:val="00AA2A92"/>
    <w:rsid w:val="00AD027A"/>
    <w:rsid w:val="00B129E0"/>
    <w:rsid w:val="00B2035A"/>
    <w:rsid w:val="00B27928"/>
    <w:rsid w:val="00B36F37"/>
    <w:rsid w:val="00B85464"/>
    <w:rsid w:val="00B93688"/>
    <w:rsid w:val="00BB13CC"/>
    <w:rsid w:val="00BB5DB5"/>
    <w:rsid w:val="00BB61EC"/>
    <w:rsid w:val="00BC1289"/>
    <w:rsid w:val="00C028FB"/>
    <w:rsid w:val="00C13860"/>
    <w:rsid w:val="00C36D47"/>
    <w:rsid w:val="00C92443"/>
    <w:rsid w:val="00CA7A2E"/>
    <w:rsid w:val="00CB25AA"/>
    <w:rsid w:val="00CD723D"/>
    <w:rsid w:val="00CE00B1"/>
    <w:rsid w:val="00CE2120"/>
    <w:rsid w:val="00CF63D8"/>
    <w:rsid w:val="00CF71A3"/>
    <w:rsid w:val="00D001DF"/>
    <w:rsid w:val="00D003DA"/>
    <w:rsid w:val="00D15440"/>
    <w:rsid w:val="00D47248"/>
    <w:rsid w:val="00D47D52"/>
    <w:rsid w:val="00D56A8B"/>
    <w:rsid w:val="00D62D29"/>
    <w:rsid w:val="00DC2EC9"/>
    <w:rsid w:val="00E0182D"/>
    <w:rsid w:val="00E06099"/>
    <w:rsid w:val="00E17698"/>
    <w:rsid w:val="00E17D84"/>
    <w:rsid w:val="00E63837"/>
    <w:rsid w:val="00EB56D6"/>
    <w:rsid w:val="00ED6866"/>
    <w:rsid w:val="00F279EA"/>
    <w:rsid w:val="00F505DA"/>
    <w:rsid w:val="00F76A0F"/>
    <w:rsid w:val="00F90E5E"/>
    <w:rsid w:val="00F973E6"/>
    <w:rsid w:val="00FB6604"/>
    <w:rsid w:val="00FC03EE"/>
    <w:rsid w:val="00FE5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E93FBE-19AB-4A5D-A4B8-2B667779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ABD"/>
  </w:style>
  <w:style w:type="paragraph" w:styleId="Footer">
    <w:name w:val="footer"/>
    <w:basedOn w:val="Normal"/>
    <w:link w:val="FooterChar"/>
    <w:uiPriority w:val="99"/>
    <w:unhideWhenUsed/>
    <w:rsid w:val="00FE5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ABD"/>
  </w:style>
  <w:style w:type="paragraph" w:customStyle="1" w:styleId="ArticleHeader">
    <w:name w:val="Article Header"/>
    <w:basedOn w:val="Normal"/>
    <w:link w:val="ArticleHeaderChar"/>
    <w:rsid w:val="000A1A7C"/>
    <w:pPr>
      <w:spacing w:after="0" w:line="240" w:lineRule="auto"/>
    </w:pPr>
    <w:rPr>
      <w:rFonts w:ascii="Arial" w:hAnsi="Arial" w:cs="Arial"/>
      <w:b/>
      <w:sz w:val="32"/>
      <w:szCs w:val="32"/>
    </w:rPr>
  </w:style>
  <w:style w:type="paragraph" w:customStyle="1" w:styleId="Subheader">
    <w:name w:val="Subheader"/>
    <w:basedOn w:val="Normal"/>
    <w:link w:val="SubheaderChar"/>
    <w:rsid w:val="000A1A7C"/>
    <w:pPr>
      <w:spacing w:after="0" w:line="240" w:lineRule="auto"/>
    </w:pPr>
    <w:rPr>
      <w:rFonts w:ascii="Arial" w:hAnsi="Arial" w:cs="Arial"/>
      <w:b/>
      <w:sz w:val="26"/>
      <w:szCs w:val="26"/>
    </w:rPr>
  </w:style>
  <w:style w:type="character" w:customStyle="1" w:styleId="ArticleHeaderChar">
    <w:name w:val="Article Header Char"/>
    <w:basedOn w:val="DefaultParagraphFont"/>
    <w:link w:val="ArticleHeader"/>
    <w:rsid w:val="000A1A7C"/>
    <w:rPr>
      <w:rFonts w:ascii="Arial" w:hAnsi="Arial" w:cs="Arial"/>
      <w:b/>
      <w:sz w:val="32"/>
      <w:szCs w:val="32"/>
    </w:rPr>
  </w:style>
  <w:style w:type="paragraph" w:customStyle="1" w:styleId="BulletedList">
    <w:name w:val="Bulleted List"/>
    <w:basedOn w:val="Normal"/>
    <w:link w:val="BulletedListChar"/>
    <w:qFormat/>
    <w:rsid w:val="000A1A7C"/>
    <w:pPr>
      <w:numPr>
        <w:numId w:val="1"/>
      </w:numPr>
      <w:spacing w:after="0" w:line="240" w:lineRule="auto"/>
    </w:pPr>
    <w:rPr>
      <w:rFonts w:ascii="Arial" w:hAnsi="Arial" w:cs="Arial"/>
    </w:rPr>
  </w:style>
  <w:style w:type="character" w:customStyle="1" w:styleId="SubheaderChar">
    <w:name w:val="Subheader Char"/>
    <w:basedOn w:val="DefaultParagraphFont"/>
    <w:link w:val="Subheader"/>
    <w:rsid w:val="000A1A7C"/>
    <w:rPr>
      <w:rFonts w:ascii="Arial" w:hAnsi="Arial" w:cs="Arial"/>
      <w:b/>
      <w:sz w:val="26"/>
      <w:szCs w:val="26"/>
    </w:rPr>
  </w:style>
  <w:style w:type="paragraph" w:customStyle="1" w:styleId="NumberedList">
    <w:name w:val="Numbered List"/>
    <w:basedOn w:val="BulletedList"/>
    <w:link w:val="NumberedListChar"/>
    <w:rsid w:val="00841C46"/>
    <w:pPr>
      <w:numPr>
        <w:numId w:val="2"/>
      </w:numPr>
      <w:ind w:left="270" w:hanging="270"/>
    </w:pPr>
  </w:style>
  <w:style w:type="character" w:customStyle="1" w:styleId="BulletedListChar">
    <w:name w:val="Bulleted List Char"/>
    <w:basedOn w:val="DefaultParagraphFont"/>
    <w:link w:val="BulletedList"/>
    <w:rsid w:val="000A1A7C"/>
    <w:rPr>
      <w:rFonts w:ascii="Arial" w:hAnsi="Arial" w:cs="Arial"/>
    </w:rPr>
  </w:style>
  <w:style w:type="character" w:customStyle="1" w:styleId="NumberedListChar">
    <w:name w:val="Numbered List Char"/>
    <w:basedOn w:val="BulletedListChar"/>
    <w:link w:val="NumberedList"/>
    <w:rsid w:val="00841C46"/>
    <w:rPr>
      <w:rFonts w:ascii="Arial" w:hAnsi="Arial" w:cs="Arial"/>
    </w:rPr>
  </w:style>
  <w:style w:type="character" w:styleId="Hyperlink">
    <w:name w:val="Hyperlink"/>
    <w:basedOn w:val="DefaultParagraphFont"/>
    <w:uiPriority w:val="99"/>
    <w:unhideWhenUsed/>
    <w:rsid w:val="002B67A3"/>
    <w:rPr>
      <w:color w:val="0563C1" w:themeColor="hyperlink"/>
      <w:u w:val="single"/>
    </w:rPr>
  </w:style>
  <w:style w:type="paragraph" w:styleId="ListParagraph">
    <w:name w:val="List Paragraph"/>
    <w:basedOn w:val="Normal"/>
    <w:uiPriority w:val="34"/>
    <w:rsid w:val="002B67A3"/>
    <w:pPr>
      <w:spacing w:line="240" w:lineRule="auto"/>
      <w:ind w:left="720"/>
      <w:contextualSpacing/>
    </w:pPr>
    <w:rPr>
      <w:rFonts w:ascii="Arial" w:hAnsi="Arial" w:cs="Arial"/>
      <w:sz w:val="20"/>
    </w:rPr>
  </w:style>
  <w:style w:type="paragraph" w:customStyle="1" w:styleId="1Header">
    <w:name w:val="1 Header"/>
    <w:basedOn w:val="ArticleHeader"/>
    <w:link w:val="1HeaderChar"/>
    <w:qFormat/>
    <w:rsid w:val="001932BA"/>
    <w:pPr>
      <w:spacing w:after="80" w:line="192" w:lineRule="auto"/>
    </w:pPr>
    <w:rPr>
      <w:rFonts w:asciiTheme="minorHAnsi" w:hAnsiTheme="minorHAnsi" w:cstheme="minorHAnsi"/>
      <w:sz w:val="36"/>
    </w:rPr>
  </w:style>
  <w:style w:type="paragraph" w:customStyle="1" w:styleId="Body">
    <w:name w:val="Body"/>
    <w:basedOn w:val="Normal"/>
    <w:link w:val="BodyChar"/>
    <w:qFormat/>
    <w:rsid w:val="005617BE"/>
    <w:pPr>
      <w:spacing w:line="252" w:lineRule="auto"/>
    </w:pPr>
    <w:rPr>
      <w:rFonts w:cstheme="minorHAnsi"/>
    </w:rPr>
  </w:style>
  <w:style w:type="character" w:customStyle="1" w:styleId="1HeaderChar">
    <w:name w:val="1 Header Char"/>
    <w:basedOn w:val="ArticleHeaderChar"/>
    <w:link w:val="1Header"/>
    <w:rsid w:val="001932BA"/>
    <w:rPr>
      <w:rFonts w:ascii="Arial" w:hAnsi="Arial" w:cstheme="minorHAnsi"/>
      <w:b/>
      <w:sz w:val="36"/>
      <w:szCs w:val="32"/>
    </w:rPr>
  </w:style>
  <w:style w:type="paragraph" w:customStyle="1" w:styleId="BulletList">
    <w:name w:val="Bullet List"/>
    <w:basedOn w:val="Body"/>
    <w:link w:val="BulletListChar"/>
    <w:qFormat/>
    <w:rsid w:val="00185FD8"/>
    <w:pPr>
      <w:numPr>
        <w:numId w:val="6"/>
      </w:numPr>
      <w:spacing w:after="60"/>
      <w:ind w:left="273" w:hanging="187"/>
    </w:pPr>
  </w:style>
  <w:style w:type="character" w:customStyle="1" w:styleId="BodyChar">
    <w:name w:val="Body Char"/>
    <w:basedOn w:val="DefaultParagraphFont"/>
    <w:link w:val="Body"/>
    <w:rsid w:val="005617BE"/>
    <w:rPr>
      <w:rFonts w:cstheme="minorHAnsi"/>
    </w:rPr>
  </w:style>
  <w:style w:type="character" w:customStyle="1" w:styleId="BulletListChar">
    <w:name w:val="Bullet List Char"/>
    <w:basedOn w:val="BodyChar"/>
    <w:link w:val="BulletList"/>
    <w:rsid w:val="00185FD8"/>
    <w:rPr>
      <w:rFonts w:cstheme="minorHAnsi"/>
    </w:rPr>
  </w:style>
  <w:style w:type="paragraph" w:customStyle="1" w:styleId="2Header">
    <w:name w:val="2 Header"/>
    <w:basedOn w:val="Normal"/>
    <w:link w:val="2HeaderChar"/>
    <w:qFormat/>
    <w:rsid w:val="00A57169"/>
    <w:pPr>
      <w:spacing w:after="0"/>
    </w:pPr>
    <w:rPr>
      <w:rFonts w:cstheme="minorHAnsi"/>
      <w:b/>
    </w:rPr>
  </w:style>
  <w:style w:type="character" w:customStyle="1" w:styleId="2HeaderChar">
    <w:name w:val="2 Header Char"/>
    <w:basedOn w:val="DefaultParagraphFont"/>
    <w:link w:val="2Header"/>
    <w:rsid w:val="00A57169"/>
    <w:rPr>
      <w:rFonts w:cstheme="minorHAnsi"/>
      <w:b/>
    </w:rPr>
  </w:style>
  <w:style w:type="character" w:customStyle="1" w:styleId="UnresolvedMention1">
    <w:name w:val="Unresolved Mention1"/>
    <w:basedOn w:val="DefaultParagraphFont"/>
    <w:uiPriority w:val="99"/>
    <w:semiHidden/>
    <w:unhideWhenUsed/>
    <w:rsid w:val="00C13860"/>
    <w:rPr>
      <w:color w:val="605E5C"/>
      <w:shd w:val="clear" w:color="auto" w:fill="E1DFDD"/>
    </w:rPr>
  </w:style>
  <w:style w:type="character" w:styleId="FollowedHyperlink">
    <w:name w:val="FollowedHyperlink"/>
    <w:basedOn w:val="DefaultParagraphFont"/>
    <w:uiPriority w:val="99"/>
    <w:semiHidden/>
    <w:unhideWhenUsed/>
    <w:rsid w:val="001D5A30"/>
    <w:rPr>
      <w:color w:val="954F72" w:themeColor="followedHyperlink"/>
      <w:u w:val="single"/>
    </w:rPr>
  </w:style>
  <w:style w:type="character" w:styleId="CommentReference">
    <w:name w:val="annotation reference"/>
    <w:basedOn w:val="DefaultParagraphFont"/>
    <w:uiPriority w:val="99"/>
    <w:semiHidden/>
    <w:unhideWhenUsed/>
    <w:rsid w:val="00474982"/>
    <w:rPr>
      <w:sz w:val="16"/>
      <w:szCs w:val="16"/>
    </w:rPr>
  </w:style>
  <w:style w:type="paragraph" w:styleId="CommentText">
    <w:name w:val="annotation text"/>
    <w:basedOn w:val="Normal"/>
    <w:link w:val="CommentTextChar"/>
    <w:uiPriority w:val="99"/>
    <w:semiHidden/>
    <w:unhideWhenUsed/>
    <w:rsid w:val="00474982"/>
    <w:pPr>
      <w:spacing w:line="240" w:lineRule="auto"/>
    </w:pPr>
    <w:rPr>
      <w:sz w:val="20"/>
      <w:szCs w:val="20"/>
    </w:rPr>
  </w:style>
  <w:style w:type="character" w:customStyle="1" w:styleId="CommentTextChar">
    <w:name w:val="Comment Text Char"/>
    <w:basedOn w:val="DefaultParagraphFont"/>
    <w:link w:val="CommentText"/>
    <w:uiPriority w:val="99"/>
    <w:semiHidden/>
    <w:rsid w:val="00474982"/>
    <w:rPr>
      <w:sz w:val="20"/>
      <w:szCs w:val="20"/>
    </w:rPr>
  </w:style>
  <w:style w:type="paragraph" w:styleId="CommentSubject">
    <w:name w:val="annotation subject"/>
    <w:basedOn w:val="CommentText"/>
    <w:next w:val="CommentText"/>
    <w:link w:val="CommentSubjectChar"/>
    <w:uiPriority w:val="99"/>
    <w:semiHidden/>
    <w:unhideWhenUsed/>
    <w:rsid w:val="00474982"/>
    <w:rPr>
      <w:b/>
      <w:bCs/>
    </w:rPr>
  </w:style>
  <w:style w:type="character" w:customStyle="1" w:styleId="CommentSubjectChar">
    <w:name w:val="Comment Subject Char"/>
    <w:basedOn w:val="CommentTextChar"/>
    <w:link w:val="CommentSubject"/>
    <w:uiPriority w:val="99"/>
    <w:semiHidden/>
    <w:rsid w:val="00474982"/>
    <w:rPr>
      <w:b/>
      <w:bCs/>
      <w:sz w:val="20"/>
      <w:szCs w:val="20"/>
    </w:rPr>
  </w:style>
  <w:style w:type="paragraph" w:styleId="BalloonText">
    <w:name w:val="Balloon Text"/>
    <w:basedOn w:val="Normal"/>
    <w:link w:val="BalloonTextChar"/>
    <w:uiPriority w:val="99"/>
    <w:semiHidden/>
    <w:unhideWhenUsed/>
    <w:rsid w:val="004749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982"/>
    <w:rPr>
      <w:rFonts w:ascii="Segoe UI" w:hAnsi="Segoe UI" w:cs="Segoe UI"/>
      <w:sz w:val="18"/>
      <w:szCs w:val="18"/>
    </w:rPr>
  </w:style>
  <w:style w:type="paragraph" w:styleId="BodyText">
    <w:name w:val="Body Text"/>
    <w:basedOn w:val="Normal"/>
    <w:link w:val="BodyTextChar"/>
    <w:uiPriority w:val="99"/>
    <w:semiHidden/>
    <w:unhideWhenUsed/>
    <w:rsid w:val="00D15440"/>
    <w:pPr>
      <w:spacing w:after="120"/>
    </w:pPr>
  </w:style>
  <w:style w:type="character" w:customStyle="1" w:styleId="BodyTextChar">
    <w:name w:val="Body Text Char"/>
    <w:basedOn w:val="DefaultParagraphFont"/>
    <w:link w:val="BodyText"/>
    <w:uiPriority w:val="99"/>
    <w:semiHidden/>
    <w:rsid w:val="00D15440"/>
  </w:style>
  <w:style w:type="paragraph" w:customStyle="1" w:styleId="Bullet">
    <w:name w:val="Bullet"/>
    <w:basedOn w:val="Normal"/>
    <w:link w:val="BulletChar"/>
    <w:qFormat/>
    <w:rsid w:val="002C70E2"/>
    <w:pPr>
      <w:numPr>
        <w:numId w:val="11"/>
      </w:numPr>
      <w:spacing w:after="0"/>
    </w:pPr>
  </w:style>
  <w:style w:type="character" w:customStyle="1" w:styleId="BulletChar">
    <w:name w:val="Bullet Char"/>
    <w:basedOn w:val="DefaultParagraphFont"/>
    <w:link w:val="Bullet"/>
    <w:rsid w:val="002C7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upremecourt.gov/orders/courtorders/030220zor_l5gm.pdf" TargetMode="External"/><Relationship Id="rId18" Type="http://schemas.openxmlformats.org/officeDocument/2006/relationships/hyperlink" Target="https://www.govinfo.gov/content/pkg/FR-2019-01-24/pdf/2019-00077.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upremecourt.gov/orders/courtorders/012120zor_7k47.pdf" TargetMode="External"/><Relationship Id="rId17" Type="http://schemas.openxmlformats.org/officeDocument/2006/relationships/hyperlink" Target="https://www.govinfo.gov/content/pkg/FR-2019-01-24/pdf/2019-00077.pdf" TargetMode="External"/><Relationship Id="rId2" Type="http://schemas.openxmlformats.org/officeDocument/2006/relationships/numbering" Target="numbering.xml"/><Relationship Id="rId16" Type="http://schemas.openxmlformats.org/officeDocument/2006/relationships/hyperlink" Target="http://www.ca5.uscourts.gov/opinions/pub/19/19-10011-CV0.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premecourt.gov/orders/courtorders/012120zor_7k47.pdf" TargetMode="External"/><Relationship Id="rId5" Type="http://schemas.openxmlformats.org/officeDocument/2006/relationships/webSettings" Target="webSettings.xml"/><Relationship Id="rId15" Type="http://schemas.openxmlformats.org/officeDocument/2006/relationships/hyperlink" Target="https://www.supremecourt.gov/orders/courtorders/030220zor_l5gm.pdf" TargetMode="External"/><Relationship Id="rId10" Type="http://schemas.openxmlformats.org/officeDocument/2006/relationships/hyperlink" Target="https://www.irs.gov/pub/irs-lafa/20200801f.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rs.gov/pub/irs-lafa/20200801f.pdf" TargetMode="External"/><Relationship Id="rId14" Type="http://schemas.openxmlformats.org/officeDocument/2006/relationships/hyperlink" Target="http://www.ca5.uscourts.gov/opinions/pub/19/19-10011-CV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Benefits%20Buzz\2020\Benefits_Buzz-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2ABE1-F91D-4AC5-B868-DCA998D9F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Benefits_Buzz-EB-2020-US</Template>
  <TotalTime>0</TotalTime>
  <Pages>1</Pages>
  <Words>1</Words>
  <Characters>10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Jacobs, Jessica</cp:lastModifiedBy>
  <cp:revision>2</cp:revision>
  <dcterms:created xsi:type="dcterms:W3CDTF">2020-04-03T13:17:00Z</dcterms:created>
  <dcterms:modified xsi:type="dcterms:W3CDTF">2020-04-03T13:17:00Z</dcterms:modified>
</cp:coreProperties>
</file>