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300C" w:rsidRPr="00D001DF" w:rsidRDefault="00136A03" w:rsidP="009C336C">
      <w:pPr>
        <w:pStyle w:val="Body"/>
      </w:pPr>
      <w:bookmarkStart w:id="0" w:name="_GoBack"/>
      <w:bookmarkEnd w:id="0"/>
      <w:r w:rsidRPr="00D001DF">
        <w:rPr>
          <w:noProof/>
        </w:rPr>
        <w:drawing>
          <wp:anchor distT="0" distB="0" distL="114300" distR="114300" simplePos="0" relativeHeight="251658240" behindDoc="0" locked="1" layoutInCell="1" allowOverlap="1">
            <wp:simplePos x="0" y="0"/>
            <wp:positionH relativeFrom="margin">
              <wp:posOffset>2730500</wp:posOffset>
            </wp:positionH>
            <wp:positionV relativeFrom="margin">
              <wp:posOffset>7315200</wp:posOffset>
            </wp:positionV>
            <wp:extent cx="1645923" cy="1120142"/>
            <wp:effectExtent l="0" t="0" r="0" b="0"/>
            <wp:wrapNone/>
            <wp:docPr id="100021" name="Picture 100021"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73852"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Pr>
          <w:noProof/>
        </w:rPr>
        <mc:AlternateContent>
          <mc:Choice Requires="wps">
            <w:drawing>
              <wp:anchor distT="0" distB="0" distL="114300" distR="114300" simplePos="0" relativeHeight="251675648" behindDoc="0" locked="0" layoutInCell="1" allowOverlap="1">
                <wp:simplePos x="0" y="0"/>
                <wp:positionH relativeFrom="margin">
                  <wp:posOffset>-2188991</wp:posOffset>
                </wp:positionH>
                <wp:positionV relativeFrom="page">
                  <wp:posOffset>4506277</wp:posOffset>
                </wp:positionV>
                <wp:extent cx="2705100" cy="487045"/>
                <wp:effectExtent l="4127" t="14923" r="4128" b="4127"/>
                <wp:wrapNone/>
                <wp:docPr id="2" name="Text Box 2"/>
                <wp:cNvGraphicFramePr/>
                <a:graphic xmlns:a="http://schemas.openxmlformats.org/drawingml/2006/main">
                  <a:graphicData uri="http://schemas.microsoft.com/office/word/2010/wordprocessingShape">
                    <wps:wsp>
                      <wps:cNvSpPr txBox="1"/>
                      <wps:spPr>
                        <a:xfrm rot="16200000">
                          <a:off x="0" y="0"/>
                          <a:ext cx="2705100" cy="487045"/>
                        </a:xfrm>
                        <a:prstGeom prst="rect">
                          <a:avLst/>
                        </a:prstGeom>
                        <a:noFill/>
                        <a:ln w="6350">
                          <a:noFill/>
                        </a:ln>
                      </wps:spPr>
                      <wps:txbx>
                        <w:txbxContent>
                          <w:p w:rsidR="00A1062C" w:rsidRPr="00A1062C" w:rsidRDefault="00136A03" w:rsidP="00A1062C">
                            <w:pPr>
                              <w:pStyle w:val="Header"/>
                              <w:jc w:val="center"/>
                              <w:rPr>
                                <w:b/>
                                <w:color w:val="FFFFFF" w:themeColor="background1"/>
                                <w:sz w:val="36"/>
                                <w:szCs w:val="36"/>
                              </w:rPr>
                            </w:pPr>
                            <w:hyperlink r:id="rId9" w:history="1">
                              <w:r w:rsidR="006A7BA6">
                                <w:rPr>
                                  <w:b/>
                                  <w:color w:val="FFFFFF" w:themeColor="background1"/>
                                  <w:sz w:val="36"/>
                                  <w:szCs w:val="36"/>
                                </w:rPr>
                                <w:t>MARCH</w:t>
                              </w:r>
                            </w:hyperlink>
                            <w:r w:rsidRPr="00A1062C">
                              <w:rPr>
                                <w:b/>
                                <w:color w:val="FFFFFF" w:themeColor="background1"/>
                                <w:sz w:val="36"/>
                                <w:szCs w:val="36"/>
                              </w:rPr>
                              <w:t xml:space="preserve"> 2020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2.35pt;margin-top:354.8pt;width:213pt;height:38.3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NwJgIAAEoEAAAOAAAAZHJzL2Uyb0RvYy54bWysVE2L2zAQvRf6H4TujR03H4uJs6S7pBTC&#10;7kJS9qzIcmywJVVSYqe/vk+ynS7bnkp9EKOZx5uZNyOv7rumJhdhbKVkRqeTmBIhucorecro98P2&#10;0x0l1jGZs1pJkdGrsPR+/fHDqtWpSFSp6lwYAhJp01ZntHROp1FkeSkaZidKC4lgoUzDHK7mFOWG&#10;tWBv6iiJ40XUKpNro7iwFt7HPkjXgb8oBHfPRWGFI3VGUZsLpwnn0Z/ResXSk2G6rPhQBvuHKhpW&#10;SSS9UT0yx8jZVH9QNRU3yqrCTbhqIlUUFRehB3Qzjd91sy+ZFqEXiGP1TSb7/2j50+XFkCrPaEKJ&#10;ZA1GdBCdI19URxKvTqttCtBeA+Y6uDHl0W/h9E13hWmIURB3usBQ8AUt0B0BHLJfb1J7bg5nsozn&#10;U+AIR2x2t4xnc88a9WSeVBvrvgrVEG9k1GCUgZVddtb10BHi4VJtq7oO46wlaTO6+Dzvy7hFQF5L&#10;5PAt9aV7y3XHbujzqPIr2gydoDSr+bZC8h2z7oUZ7AWc2HX3jKOoFZKowaKkVObn3/wej3EhSkmL&#10;Pcuo/XFmRlBSf5MYJChdMGbzZYKLGb3Ht155bh4UVngaqgqmx7p6NAujmlc8hY3PhhCTHDkz6kbz&#10;wfVbj6fExWYTQFhBzdxO7jX31KPqh+6VGT3o7jCxJzVuIkvfyd9jB1F7/YYLFjbMc3hc/kW8vQfU&#10;71/A+hcAAAD//wMAUEsDBBQABgAIAAAAIQAmnkQu4gAAAAwBAAAPAAAAZHJzL2Rvd25yZXYueG1s&#10;TI/BTsMwEETvSPyDtUhcUGqnISUNcSqEVFUcW5B6deNtkhKvo9hNwt9jTuW42qeZN8VmNh0bcXCt&#10;JQnxQgBDqqxuqZbw9bmNMmDOK9Kqs4QSftDBpry/K1Su7UR7HA++ZiGEXK4kNN73OeeuatAot7A9&#10;Uvid7WCUD+dQcz2oKYSbji+FWHGjWgoNjerxvcHq+3A1Eo7Z5Xh+Sj4u2TKdts1ux/ecRikfH+a3&#10;V2AeZ3+D4U8/qEMZnE72StqxTkIUv4g4sBLSJA2rAhKtk2dgJwnrVSyAlwX/P6L8BQAA//8DAFBL&#10;AQItABQABgAIAAAAIQC2gziS/gAAAOEBAAATAAAAAAAAAAAAAAAAAAAAAABbQ29udGVudF9UeXBl&#10;c10ueG1sUEsBAi0AFAAGAAgAAAAhADj9If/WAAAAlAEAAAsAAAAAAAAAAAAAAAAALwEAAF9yZWxz&#10;Ly5yZWxzUEsBAi0AFAAGAAgAAAAhAF5q03AmAgAASgQAAA4AAAAAAAAAAAAAAAAALgIAAGRycy9l&#10;Mm9Eb2MueG1sUEsBAi0AFAAGAAgAAAAhACaeRC7iAAAADAEAAA8AAAAAAAAAAAAAAAAAgAQAAGRy&#10;cy9kb3ducmV2LnhtbFBLBQYAAAAABAAEAPMAAACPBQAAAAA=&#10;" filled="f" stroked="f" strokeweight=".5pt">
                <v:textbox inset="0,,0">
                  <w:txbxContent>
                    <w:p w:rsidR="00A1062C" w:rsidRPr="00A1062C" w:rsidRDefault="00136A03" w:rsidP="00A1062C">
                      <w:pPr>
                        <w:pStyle w:val="Header"/>
                        <w:jc w:val="center"/>
                        <w:rPr>
                          <w:b/>
                          <w:color w:val="FFFFFF" w:themeColor="background1"/>
                          <w:sz w:val="36"/>
                          <w:szCs w:val="36"/>
                        </w:rPr>
                      </w:pPr>
                      <w:hyperlink r:id="rId10" w:history="1">
                        <w:r w:rsidR="006A7BA6">
                          <w:rPr>
                            <w:b/>
                            <w:color w:val="FFFFFF" w:themeColor="background1"/>
                            <w:sz w:val="36"/>
                            <w:szCs w:val="36"/>
                          </w:rPr>
                          <w:t>MARCH</w:t>
                        </w:r>
                      </w:hyperlink>
                      <w:r w:rsidRPr="00A1062C">
                        <w:rPr>
                          <w:b/>
                          <w:color w:val="FFFFFF" w:themeColor="background1"/>
                          <w:sz w:val="36"/>
                          <w:szCs w:val="36"/>
                        </w:rPr>
                        <w:t xml:space="preserve"> 2020</w:t>
                      </w:r>
                    </w:p>
                  </w:txbxContent>
                </v:textbox>
                <w10:wrap anchorx="margin" anchory="page"/>
              </v:shape>
            </w:pict>
          </mc:Fallback>
        </mc:AlternateContent>
      </w:r>
      <w:r w:rsidR="00D15440">
        <w:rPr>
          <w:noProof/>
        </w:rPr>
        <mc:AlternateContent>
          <mc:Choice Requires="wps">
            <w:drawing>
              <wp:anchor distT="0" distB="0" distL="114300" distR="114300" simplePos="0" relativeHeight="251671552" behindDoc="0" locked="0" layoutInCell="1" allowOverlap="1">
                <wp:simplePos x="0" y="0"/>
                <wp:positionH relativeFrom="margin">
                  <wp:posOffset>-30480</wp:posOffset>
                </wp:positionH>
                <wp:positionV relativeFrom="paragraph">
                  <wp:posOffset>3239135</wp:posOffset>
                </wp:positionV>
                <wp:extent cx="4616450" cy="711835"/>
                <wp:effectExtent l="0" t="0" r="12700" b="0"/>
                <wp:wrapNone/>
                <wp:docPr id="19" name="Text Box 19"/>
                <wp:cNvGraphicFramePr/>
                <a:graphic xmlns:a="http://schemas.openxmlformats.org/drawingml/2006/main">
                  <a:graphicData uri="http://schemas.microsoft.com/office/word/2010/wordprocessingShape">
                    <wps:wsp>
                      <wps:cNvSpPr txBox="1"/>
                      <wps:spPr>
                        <a:xfrm>
                          <a:off x="0" y="0"/>
                          <a:ext cx="4616450" cy="711835"/>
                        </a:xfrm>
                        <a:prstGeom prst="rect">
                          <a:avLst/>
                        </a:prstGeom>
                        <a:noFill/>
                        <a:ln w="6350">
                          <a:noFill/>
                        </a:ln>
                      </wps:spPr>
                      <wps:txbx>
                        <w:txbxContent>
                          <w:p w:rsidR="009C336C" w:rsidRDefault="00136A03" w:rsidP="009C336C">
                            <w:pPr>
                              <w:pStyle w:val="1Header"/>
                            </w:pPr>
                            <w:r>
                              <w:t>HHS Increases Civil Penalties for HIPAA Violations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2.4pt;margin-top:255.05pt;width:363.5pt;height:56.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FoIQIAAEQEAAAOAAAAZHJzL2Uyb0RvYy54bWysU8tu2zAQvBfoPxC817Ic20kFy4GbwEWB&#10;IAlgFznTFGUJEB8laUvu13dIWU6a9lT0Qu1Ls7uzu4vbTjbkKKyrtcppOhpTIhTXRa32Of2+XX+6&#10;ocR5pgrWaCVyehKO3i4/fli0JhMTXemmEJYARLmsNTmtvDdZkjheCcncSBuh4Cy1lcxDtfuksKwF&#10;umySyXg8T1ptC2M1F87Bet876TLil6Xg/qksnfCkySlq8/G18d2FN1kuWLa3zFQ1P5fB/qEKyWqF&#10;pBeoe+YZOdj6DyhZc6udLv2Ia5nosqy5iD2gm3T8rptNxYyIvYAcZy40uf8Hyx+Pz5bUBWb3mRLF&#10;JGa0FZ0nX3RHYAI/rXEZwjYGgb6DHbGD3cEY2u5KK8MXDRH4wfTpwm5A4zBO5+l8OoOLw3edpjdX&#10;swCTvP5trPNfhZYkCDm1mF4klR0fnO9Dh5CQTOl13TRxgo0ibU7nV4D/zQPwRiFH6KGvNUi+23V9&#10;z0MfO12c0J7V/YI4w9c1anhgzj8zi41A2dhy/4SnbDRy6bNESaXtz7/ZQzwGBS8lLTYsp+7HgVlB&#10;SfNNYYRhHaMwnV1PoNjBuntrVQd5p7G8Ke7I8CiGWN8MYmm1fMERrEI2uJjiyJlTP4h3vt93HBEX&#10;q1UMwvIZ5h/UxvAAHTgLzG67F2bNmX6PwT3qYQdZ9m4KfeyZ256/s4JVjWM9n1W4hbd6jHo9/uUv&#10;AAAA//8DAFBLAwQUAAYACAAAACEAYEHYP94AAAAKAQAADwAAAGRycy9kb3ducmV2LnhtbEyPzU7D&#10;MBCE70i8g7VI3FonEZQSsqkqpJYLFwpIHN148yPsdWS7aXh73BPcdrSjmW+qzWyNmMiHwTFCvsxA&#10;EDdOD9whfLzvFmsQISrWyjgmhB8KsKmvrypVanfmN5oOsRMphEOpEPoYx1LK0PRkVVi6kTj9Wuet&#10;ikn6TmqvzincGllk2UpaNXBq6NVIzz0134eTRYihNbu1ftGv4/Zzv/fd9EhfLeLtzbx9AhFpjn9m&#10;uOAndKgT09GdWAdhEBZ3iTwi3OdZDiIZHoqiAHFEWF0OWVfy/4T6FwAA//8DAFBLAQItABQABgAI&#10;AAAAIQC2gziS/gAAAOEBAAATAAAAAAAAAAAAAAAAAAAAAABbQ29udGVudF9UeXBlc10ueG1sUEsB&#10;Ai0AFAAGAAgAAAAhADj9If/WAAAAlAEAAAsAAAAAAAAAAAAAAAAALwEAAF9yZWxzLy5yZWxzUEsB&#10;Ai0AFAAGAAgAAAAhAErdoWghAgAARAQAAA4AAAAAAAAAAAAAAAAALgIAAGRycy9lMm9Eb2MueG1s&#10;UEsBAi0AFAAGAAgAAAAhAGBB2D/eAAAACgEAAA8AAAAAAAAAAAAAAAAAewQAAGRycy9kb3ducmV2&#10;LnhtbFBLBQYAAAAABAAEAPMAAACGBQAAAAA=&#10;" filled="f" stroked="f" strokeweight=".5pt">
                <v:textbox inset="0,,0">
                  <w:txbxContent>
                    <w:p w:rsidR="009C336C" w:rsidRDefault="00136A03" w:rsidP="009C336C">
                      <w:pPr>
                        <w:pStyle w:val="1Header"/>
                      </w:pPr>
                      <w:r>
                        <w:t>HHS Increases Civil Penalties for HIPAA Violations</w:t>
                      </w:r>
                    </w:p>
                  </w:txbxContent>
                </v:textbox>
                <w10:wrap anchorx="margin"/>
              </v:shape>
            </w:pict>
          </mc:Fallback>
        </mc:AlternateContent>
      </w:r>
      <w:r w:rsidR="00474982">
        <w:rPr>
          <w:noProof/>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-349719</wp:posOffset>
                </wp:positionV>
                <wp:extent cx="4646295" cy="532737"/>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4646295" cy="532737"/>
                        </a:xfrm>
                        <a:prstGeom prst="rect">
                          <a:avLst/>
                        </a:prstGeom>
                        <a:noFill/>
                        <a:ln w="6350">
                          <a:noFill/>
                        </a:ln>
                      </wps:spPr>
                      <wps:txbx>
                        <w:txbxContent>
                          <w:p w:rsidR="009C336C" w:rsidRDefault="00136A03" w:rsidP="009C336C">
                            <w:pPr>
                              <w:pStyle w:val="1Header"/>
                            </w:pPr>
                            <w:r>
                              <w:t>Supreme Court Declines to Expedite ACA Case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0;margin-top:-27.55pt;width:365.85pt;height:4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IwIAAEQEAAAOAAAAZHJzL2Uyb0RvYy54bWysU8lu2zAQvRfoPxC817LlrRUsB24CFwWM&#10;JIBd5ExTlCWA5LAkbcn9+g4pyQnSnopeqNn0Zt4sq7tWSXIR1tWgczoZjSkRmkNR61NOfxy2nz5T&#10;4jzTBZOgRU6vwtG79ccPq8ZkIoUKZCEsQRDtssbktPLeZEnieCUUcyMwQqOzBKuYR9WeksKyBtGV&#10;TNLxeJE0YAtjgQvn0PrQOek64pel4P6pLJ3wROYUa/PxtfE9hjdZr1h2ssxUNe/LYP9QhWK1xqQ3&#10;qAfmGTnb+g8oVXMLDko/4qASKMuai8gB2UzG79jsK2ZE5ILNcebWJvf/YPnj5dmSusjpghLNFI7o&#10;IFpPvkJLFqE7jXEZBu0NhvkWzTjlwe7QGEi3pVXhi3QI+rHP11tvAxhH42wxW6Rf5pRw9M2n6XK6&#10;DDDJ69/GOv9NgCJByKnF2cWWssvO+S50CAnJNGxrKeP8pCYNEpjOx/GHmwfBpcYcgUNXa5B8e2wj&#10;43TgcYTiivQsdOvhDN/WWMOOOf/MLO4DMsId90/4lBIwF/QSJRXYX3+zh3gcE3opaXC/cup+npkV&#10;lMjvGgcYljEKs/kyRcUO1uNbqz6re8DVneAVGR7FEOvlIJYW1AuewCZkQxfTHHPmlHs7KPe+23c8&#10;Ii42mxiGy2eY3+m94QE89DP09tC+MGv6AXgc3SMMO8iyd3PoYvvudh3sFVzVONj+rMItvNVj1Ovx&#10;r38DAAD//wMAUEsDBBQABgAIAAAAIQBB+vb13AAAAAcBAAAPAAAAZHJzL2Rvd25yZXYueG1sTI/B&#10;boMwEETvlfoP1kbqLTFQpUEEE7WR+IASFKk3B28xCl4j2wnk7+ue2uNoRjNvysNiRnZH5wdLAtJN&#10;Agyps2qgXkB7qtc5MB8kKTlaQgEP9HConp9KWSg70yfem9CzWEK+kAJ0CFPBue80Guk3dkKK3rd1&#10;RoYoXc+Vk3MsNyPPkuSNGzlQXNBywqPG7trcjAB1zeq5/Zq0q+ezebRNE04fRyFeVsv7HljAJfyF&#10;4Rc/okMVmS72RsqzUUA8EgSst9sUWLR3r+kO2EVAlufAq5L/569+AAAA//8DAFBLAQItABQABgAI&#10;AAAAIQC2gziS/gAAAOEBAAATAAAAAAAAAAAAAAAAAAAAAABbQ29udGVudF9UeXBlc10ueG1sUEsB&#10;Ai0AFAAGAAgAAAAhADj9If/WAAAAlAEAAAsAAAAAAAAAAAAAAAAALwEAAF9yZWxzLy5yZWxzUEsB&#10;Ai0AFAAGAAgAAAAhAD/5jk8jAgAARAQAAA4AAAAAAAAAAAAAAAAALgIAAGRycy9lMm9Eb2MueG1s&#10;UEsBAi0AFAAGAAgAAAAhAEH69vXcAAAABwEAAA8AAAAAAAAAAAAAAAAAfQQAAGRycy9kb3ducmV2&#10;LnhtbFBLBQYAAAAABAAEAPMAAACGBQAAAAA=&#10;" filled="f" stroked="f" strokeweight=".5pt">
                <v:textbox inset="0,,0">
                  <w:txbxContent>
                    <w:p w:rsidR="009C336C" w:rsidRDefault="00136A03" w:rsidP="009C336C">
                      <w:pPr>
                        <w:pStyle w:val="1Header"/>
                      </w:pPr>
                      <w:r>
                        <w:t>Supreme Court Declines to Expedite ACA Case</w:t>
                      </w:r>
                    </w:p>
                  </w:txbxContent>
                </v:textbox>
                <w10:wrap anchorx="margin"/>
              </v:shape>
            </w:pict>
          </mc:Fallback>
        </mc:AlternateContent>
      </w:r>
      <w:r w:rsidR="008B0BCC">
        <w:rPr>
          <w:noProof/>
        </w:rPr>
        <mc:AlternateContent>
          <mc:Choice Requires="wps">
            <w:drawing>
              <wp:anchor distT="0" distB="0" distL="114300" distR="114300" simplePos="0" relativeHeight="251663360" behindDoc="0" locked="0" layoutInCell="1" allowOverlap="1">
                <wp:simplePos x="0" y="0"/>
                <wp:positionH relativeFrom="margin">
                  <wp:posOffset>-1905</wp:posOffset>
                </wp:positionH>
                <wp:positionV relativeFrom="paragraph">
                  <wp:posOffset>86359</wp:posOffset>
                </wp:positionV>
                <wp:extent cx="2105025" cy="3152775"/>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105025" cy="3152775"/>
                        </a:xfrm>
                        <a:prstGeom prst="rect">
                          <a:avLst/>
                        </a:prstGeom>
                        <a:noFill/>
                        <a:ln w="6350">
                          <a:noFill/>
                        </a:ln>
                      </wps:spPr>
                      <wps:txbx>
                        <w:txbxContent>
                          <w:p w:rsidR="00D15440" w:rsidRPr="00D15440" w:rsidRDefault="00136A03" w:rsidP="00D15440">
                            <w:pPr>
                              <w:pStyle w:val="Body"/>
                            </w:pPr>
                            <w:r>
                              <w:t>The</w:t>
                            </w:r>
                            <w:r w:rsidRPr="00D15440">
                              <w:t xml:space="preserve"> United States Supreme Court </w:t>
                            </w:r>
                            <w:hyperlink r:id="rId11" w:history="1">
                              <w:r w:rsidRPr="00D15440">
                                <w:rPr>
                                  <w:rStyle w:val="Hyperlink"/>
                                </w:rPr>
                                <w:t>denied</w:t>
                              </w:r>
                            </w:hyperlink>
                            <w:r w:rsidRPr="00D15440">
                              <w:t xml:space="preserve"> motions to expedite consideration of </w:t>
                            </w:r>
                            <w:r w:rsidRPr="00D15440">
                              <w:rPr>
                                <w:i/>
                              </w:rPr>
                              <w:t>Texas v. Azar,</w:t>
                            </w:r>
                            <w:r w:rsidRPr="00D15440">
                              <w:t xml:space="preserve"> the lawsuit challenging the constitutionality of the Affordable Care Act’s (ACA) individual mandate.</w:t>
                            </w:r>
                          </w:p>
                          <w:p w:rsidR="0084422A" w:rsidRPr="0084422A" w:rsidRDefault="00136A03" w:rsidP="0084422A">
                            <w:pPr>
                              <w:pStyle w:val="Body"/>
                            </w:pPr>
                            <w:r w:rsidRPr="00D15440">
                              <w:t>This decision</w:t>
                            </w:r>
                            <w:r w:rsidRPr="00D15440">
                              <w:t xml:space="preserve"> follows a federal appeals court </w:t>
                            </w:r>
                            <w:hyperlink r:id="rId12" w:history="1">
                              <w:r w:rsidRPr="00D15440">
                                <w:rPr>
                                  <w:rStyle w:val="Hyperlink"/>
                                </w:rPr>
                                <w:t>ruling</w:t>
                              </w:r>
                            </w:hyperlink>
                            <w:r w:rsidRPr="00D15440">
                              <w:t xml:space="preserve"> that the individual mandate is unconstitutional due to the elimination of the individual mandate penalty in 2019. The appeals court remande</w:t>
                            </w:r>
                            <w:r w:rsidRPr="00D15440">
                              <w:t xml:space="preserve">d the case to the lower court to determine whether the rest of the ACA can remain in place without the </w:t>
                            </w:r>
                          </w:p>
                          <w:p w:rsidR="00C13860" w:rsidRDefault="00C13860" w:rsidP="00C13860">
                            <w:pPr>
                              <w:spacing w:line="252" w:lineRule="auto"/>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5pt;margin-top:6.8pt;width:165.75pt;height:24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yIwIAAEMEAAAOAAAAZHJzL2Uyb0RvYy54bWysU8Fu2zAMvQ/YPwi6L3acuR2MOEXWIsOA&#10;oC2QDD0rshwbkERNUmJnXz9KttOi22nYRaZImtR7fFze9UqSs7CuBV3S+SylRGgOVauPJf2x33z6&#10;QonzTFdMghYlvQhH71YfPyw7U4gMGpCVsASLaFd0pqSN96ZIEscboZibgREagzVYxTxe7TGpLOuw&#10;upJJlqY3SQe2Mha4cA69D0OQrmL9uhbcP9W1E57IkuLbfDxtPA/hTFZLVhwtM03Lx2ewf3iFYq3G&#10;ptdSD8wzcrLtH6VUyy04qP2Mg0qgrlsuIgZEM0/fodk1zIiIBclx5kqT+39l+eP52ZK2KumCEs0U&#10;jmgvek++Qk8WgZ3OuAKTdgbTfI9unPLkd+gMoPvaqvBFOATjyPPlym0oxtGZzdM8zXJKOMYW8zy7&#10;vc1DneT1d2Od/yZAkWCU1OLwIqfsvHV+SJ1SQjcNm1bKOECpSVfSm0Wexh+uESwuNfYIIIbHBsv3&#10;h36EPAI8QHVBfBYGfTjDNy2+Ycucf2YWBYGQUOT+CY9aAvaC0aKkAfvrb/6Qj3PCKCUdCqyk7ueJ&#10;WUGJ/K5xgkGN0fic32Z4sZP38NarT+oeULtzXCPDoxlyvZzM2oJ6wR1Yh24YYppjz5L6ybz3g9xx&#10;h7hYr2MSas8wv9U7w0PpwGZgdt+/MGtG+j1O7hEmCbLi3RSG3JHbgb/xgkqNYx23KqzC23vMet39&#10;1W8AAAD//wMAUEsDBBQABgAIAAAAIQDQQCU+3QAAAAgBAAAPAAAAZHJzL2Rvd25yZXYueG1sTI/N&#10;TsMwEITvSLyDtUjcWieNqEqIU1VILRcutCBxdOPNj7DXke2m4e1ZTnCcndHMt9V2dlZMGOLgSUG+&#10;zEAgNd4M1Cl4P+0XGxAxaTLaekIF3xhhW9/eVLo0/kpvOB1TJ7iEYqkV9CmNpZSx6dHpuPQjEnut&#10;D04nlqGTJugrlzsrV1m2lk4PxAu9HvG5x+breHEKUmztfmNezOu4+zgcQjc94mer1P3dvHsCkXBO&#10;f2H4xWd0qJnp7C9korAKFgUH+VysQbBdFPkKxFnBQ57lIOtK/n+g/gEAAP//AwBQSwECLQAUAAYA&#10;CAAAACEAtoM4kv4AAADhAQAAEwAAAAAAAAAAAAAAAAAAAAAAW0NvbnRlbnRfVHlwZXNdLnhtbFBL&#10;AQItABQABgAIAAAAIQA4/SH/1gAAAJQBAAALAAAAAAAAAAAAAAAAAC8BAABfcmVscy8ucmVsc1BL&#10;AQItABQABgAIAAAAIQCSh/cyIwIAAEMEAAAOAAAAAAAAAAAAAAAAAC4CAABkcnMvZTJvRG9jLnht&#10;bFBLAQItABQABgAIAAAAIQDQQCU+3QAAAAgBAAAPAAAAAAAAAAAAAAAAAH0EAABkcnMvZG93bnJl&#10;di54bWxQSwUGAAAAAAQABADzAAAAhwUAAAAA&#10;" filled="f" stroked="f" strokeweight=".5pt">
                <v:textbox inset="0,,0">
                  <w:txbxContent>
                    <w:p w:rsidR="00D15440" w:rsidRPr="00D15440" w:rsidRDefault="00136A03" w:rsidP="00D15440">
                      <w:pPr>
                        <w:pStyle w:val="Body"/>
                      </w:pPr>
                      <w:r>
                        <w:t>The</w:t>
                      </w:r>
                      <w:r w:rsidRPr="00D15440">
                        <w:t xml:space="preserve"> United States Supreme Court </w:t>
                      </w:r>
                      <w:hyperlink r:id="rId13" w:history="1">
                        <w:r w:rsidRPr="00D15440">
                          <w:rPr>
                            <w:rStyle w:val="Hyperlink"/>
                          </w:rPr>
                          <w:t>denied</w:t>
                        </w:r>
                      </w:hyperlink>
                      <w:r w:rsidRPr="00D15440">
                        <w:t xml:space="preserve"> motions to expedite consideration of </w:t>
                      </w:r>
                      <w:r w:rsidRPr="00D15440">
                        <w:rPr>
                          <w:i/>
                        </w:rPr>
                        <w:t>Texas v. Azar,</w:t>
                      </w:r>
                      <w:r w:rsidRPr="00D15440">
                        <w:t xml:space="preserve"> the lawsuit challenging the constitutionality of the Affordable Care Act’s (ACA) individual mandate.</w:t>
                      </w:r>
                    </w:p>
                    <w:p w:rsidR="0084422A" w:rsidRPr="0084422A" w:rsidRDefault="00136A03" w:rsidP="0084422A">
                      <w:pPr>
                        <w:pStyle w:val="Body"/>
                      </w:pPr>
                      <w:r w:rsidRPr="00D15440">
                        <w:t>This decision</w:t>
                      </w:r>
                      <w:r w:rsidRPr="00D15440">
                        <w:t xml:space="preserve"> follows a federal appeals court </w:t>
                      </w:r>
                      <w:hyperlink r:id="rId14" w:history="1">
                        <w:r w:rsidRPr="00D15440">
                          <w:rPr>
                            <w:rStyle w:val="Hyperlink"/>
                          </w:rPr>
                          <w:t>ruling</w:t>
                        </w:r>
                      </w:hyperlink>
                      <w:r w:rsidRPr="00D15440">
                        <w:t xml:space="preserve"> that the individual mandate is unconstitutional due to the elimination of the individual mandate penalty in 2019. The appeals court remande</w:t>
                      </w:r>
                      <w:r w:rsidRPr="00D15440">
                        <w:t xml:space="preserve">d the case to the lower court to determine whether the rest of the ACA can remain in place without the </w:t>
                      </w:r>
                    </w:p>
                    <w:p w:rsidR="00C13860" w:rsidRDefault="00C13860" w:rsidP="00C13860">
                      <w:pPr>
                        <w:spacing w:line="252" w:lineRule="auto"/>
                      </w:pPr>
                    </w:p>
                  </w:txbxContent>
                </v:textbox>
                <w10:wrap anchorx="margin"/>
              </v:shape>
            </w:pict>
          </mc:Fallback>
        </mc:AlternateContent>
      </w:r>
      <w:r w:rsidR="0084422A">
        <w:rPr>
          <w:noProof/>
        </w:rPr>
        <mc:AlternateContent>
          <mc:Choice Requires="wps">
            <w:drawing>
              <wp:anchor distT="0" distB="0" distL="114300" distR="114300" simplePos="0" relativeHeight="251667456" behindDoc="0" locked="0" layoutInCell="1" allowOverlap="1">
                <wp:simplePos x="0" y="0"/>
                <wp:positionH relativeFrom="margin">
                  <wp:posOffset>2226945</wp:posOffset>
                </wp:positionH>
                <wp:positionV relativeFrom="paragraph">
                  <wp:posOffset>86360</wp:posOffset>
                </wp:positionV>
                <wp:extent cx="2228850" cy="32385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28850" cy="3238500"/>
                        </a:xfrm>
                        <a:prstGeom prst="rect">
                          <a:avLst/>
                        </a:prstGeom>
                        <a:noFill/>
                        <a:ln w="6350">
                          <a:noFill/>
                        </a:ln>
                      </wps:spPr>
                      <wps:txbx>
                        <w:txbxContent>
                          <w:p w:rsidR="00D15440" w:rsidRDefault="00136A03" w:rsidP="00D15440">
                            <w:pPr>
                              <w:pStyle w:val="BodyText"/>
                            </w:pPr>
                            <w:r>
                              <w:t>individual mandate. However, the U.S. House of Representatives and several states asked the Supreme Court to take up the case before the lower court</w:t>
                            </w:r>
                            <w:r>
                              <w:t xml:space="preserve"> issued a ruling.</w:t>
                            </w:r>
                          </w:p>
                          <w:p w:rsidR="00D15440" w:rsidRDefault="00136A03" w:rsidP="00D15440">
                            <w:pPr>
                              <w:pStyle w:val="Body"/>
                            </w:pPr>
                            <w:r>
                              <w:t>Because the Supreme Court declined to expedite the case, the lower court is now tasked with determining whether the rest of the ACA may be severed from the individual mandate provision.</w:t>
                            </w:r>
                          </w:p>
                          <w:p w:rsidR="00C13860" w:rsidRDefault="00136A03" w:rsidP="00D15440">
                            <w:pPr>
                              <w:pStyle w:val="Body"/>
                            </w:pPr>
                            <w:r>
                              <w:t>The lower court’s ruling is expected to ultimately b</w:t>
                            </w:r>
                            <w:r>
                              <w:t>e appealed to the Supreme Court</w:t>
                            </w:r>
                            <w:r w:rsidR="002A7C8B">
                              <w:t>,</w:t>
                            </w:r>
                            <w:r>
                              <w:t xml:space="preserve"> and a final decision is not expected to be made until that time. It is likely that any ruling eliminating the ACA will be stayed pending appeal.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175.35pt;margin-top:6.8pt;width:175.5pt;height:2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RpIQIAAEUEAAAOAAAAZHJzL2Uyb0RvYy54bWysU01v2zAMvQ/YfxB0X5w4bRcYcYqsRYYB&#10;QVsgGXpWZDk2YH1MUmJnv35Pst123U7DLjJF0hT53uPytpMNOQvraq1yOptMKRGK66JWx5x+328+&#10;LShxnqmCNVqJnF6Eo7erjx+WrclEqivdFMISFFEua01OK+9NliSOV0IyN9FGKARLbSXzuNpjUljW&#10;orpsknQ6vUlabQtjNRfOwXvfB+kq1i9Lwf1jWTrhSZNT9ObjaeN5CGeyWrLsaJmpaj60wf6hC8lq&#10;hUdfSt0zz8jJ1n+UkjW32unST7iWiS7Lmos4A6aZTd9Ns6uYEXEWgOPMC0zu/5XlD+cnS+oC3M0o&#10;UUyCo73oPPmiOwIX8GmNy5C2M0j0HfzIHf0OzjB2V1oZvhiIIA6kLy/ohmoczjRNF4trhDhi83QO&#10;O+KfvP5urPNfhZYkGDm1oC+iys5b59EKUseU8JrSm7ppIoWNIm1Ob+ao/1sEfzQKP4Yh+maD5btD&#10;F4e+Ggc56OKC+azuFeIM39ToYcucf2IWkkDfkLl/xFE2Gm/pwaKk0vbn3/whH0whSkkLieXU/Tgx&#10;KyhpvilwGPQYjavrzykudvQe3nrVSd5pqBf0oKtohlzfjGZptXzGFqzDawgxxfFmTv1o3vle8Ngi&#10;LtbrmAT1Gea3amd4KB0wC8juu2dmzQC/B3MPehQhy96x0OcO2Pb4DRdoNXI17FVYhrf3mPW6/atf&#10;AAAA//8DAFBLAwQUAAYACAAAACEAMKpiM94AAAAKAQAADwAAAGRycy9kb3ducmV2LnhtbEyPS0/D&#10;MBCE70j8B2uRuFG7rfpK41QVUsuFCwUkjm68eQh7HcVuGv49y4ked+bT7Ey+G70TA/axDaRhOlEg&#10;kMpgW6o1fLwfntYgYjJkjQuEGn4wwq64v8tNZsOV3nA4pVpwCMXMaGhS6jIpY9mgN3ESOiT2qtB7&#10;k/jsa2l7c+Vw7+RMqaX0piX+0JgOnxssv08XryHFyh3W9sW+dvvP47Gvhw1+VVo/Poz7LYiEY/qH&#10;4a8+V4eCO53DhWwUTsN8oVaMsjFfgmBgpaYsnDUsZqzIIpe3E4pfAAAA//8DAFBLAQItABQABgAI&#10;AAAAIQC2gziS/gAAAOEBAAATAAAAAAAAAAAAAAAAAAAAAABbQ29udGVudF9UeXBlc10ueG1sUEsB&#10;Ai0AFAAGAAgAAAAhADj9If/WAAAAlAEAAAsAAAAAAAAAAAAAAAAALwEAAF9yZWxzLy5yZWxzUEsB&#10;Ai0AFAAGAAgAAAAhAOAI5GkhAgAARQQAAA4AAAAAAAAAAAAAAAAALgIAAGRycy9lMm9Eb2MueG1s&#10;UEsBAi0AFAAGAAgAAAAhADCqYjPeAAAACgEAAA8AAAAAAAAAAAAAAAAAewQAAGRycy9kb3ducmV2&#10;LnhtbFBLBQYAAAAABAAEAPMAAACGBQAAAAA=&#10;" filled="f" stroked="f" strokeweight=".5pt">
                <v:textbox inset="0,,0">
                  <w:txbxContent>
                    <w:p w:rsidR="00D15440" w:rsidRDefault="00136A03" w:rsidP="00D15440">
                      <w:pPr>
                        <w:pStyle w:val="BodyText"/>
                      </w:pPr>
                      <w:r>
                        <w:t>individual mandate. However, the U.S. House of Representatives and several states asked the Supreme Court to take up the case before the lower court</w:t>
                      </w:r>
                      <w:r>
                        <w:t xml:space="preserve"> issued a ruling.</w:t>
                      </w:r>
                    </w:p>
                    <w:p w:rsidR="00D15440" w:rsidRDefault="00136A03" w:rsidP="00D15440">
                      <w:pPr>
                        <w:pStyle w:val="Body"/>
                      </w:pPr>
                      <w:r>
                        <w:t>Because the Supreme Court declined to expedite the case, the lower court is now tasked with determining whether the rest of the ACA may be severed from the individual mandate provision.</w:t>
                      </w:r>
                    </w:p>
                    <w:p w:rsidR="00C13860" w:rsidRDefault="00136A03" w:rsidP="00D15440">
                      <w:pPr>
                        <w:pStyle w:val="Body"/>
                      </w:pPr>
                      <w:r>
                        <w:t>The lower court’s ruling is expected to ultimately b</w:t>
                      </w:r>
                      <w:r>
                        <w:t>e appealed to the Supreme Court</w:t>
                      </w:r>
                      <w:r w:rsidR="002A7C8B">
                        <w:t>,</w:t>
                      </w:r>
                      <w:r>
                        <w:t xml:space="preserve"> and a final decision is not expected to be made until that time. It is likely that any ruling eliminating the ACA will be stayed pending appeal.</w:t>
                      </w:r>
                    </w:p>
                  </w:txbxContent>
                </v:textbox>
                <w10:wrap anchorx="margin"/>
              </v:shape>
            </w:pict>
          </mc:Fallback>
        </mc:AlternateContent>
      </w:r>
      <w:r w:rsidR="009054EF">
        <w:rPr>
          <w:noProof/>
        </w:rPr>
        <mc:AlternateContent>
          <mc:Choice Requires="wps">
            <w:drawing>
              <wp:anchor distT="0" distB="0" distL="114300" distR="114300" simplePos="0" relativeHeight="251669504" behindDoc="0" locked="0" layoutInCell="1" allowOverlap="1">
                <wp:simplePos x="0" y="0"/>
                <wp:positionH relativeFrom="margin">
                  <wp:posOffset>-1905</wp:posOffset>
                </wp:positionH>
                <wp:positionV relativeFrom="paragraph">
                  <wp:posOffset>3755390</wp:posOffset>
                </wp:positionV>
                <wp:extent cx="2159000" cy="4057650"/>
                <wp:effectExtent l="0" t="0" r="12700" b="0"/>
                <wp:wrapNone/>
                <wp:docPr id="18" name="Text Box 18"/>
                <wp:cNvGraphicFramePr/>
                <a:graphic xmlns:a="http://schemas.openxmlformats.org/drawingml/2006/main">
                  <a:graphicData uri="http://schemas.microsoft.com/office/word/2010/wordprocessingShape">
                    <wps:wsp>
                      <wps:cNvSpPr txBox="1"/>
                      <wps:spPr>
                        <a:xfrm>
                          <a:off x="0" y="0"/>
                          <a:ext cx="2159000" cy="4057650"/>
                        </a:xfrm>
                        <a:prstGeom prst="rect">
                          <a:avLst/>
                        </a:prstGeom>
                        <a:noFill/>
                        <a:ln w="6350">
                          <a:noFill/>
                        </a:ln>
                      </wps:spPr>
                      <wps:txbx>
                        <w:txbxContent>
                          <w:p w:rsidR="00D15440" w:rsidRDefault="00136A03" w:rsidP="00D15440">
                            <w:pPr>
                              <w:pStyle w:val="Body"/>
                            </w:pPr>
                            <w:r>
                              <w:t>T</w:t>
                            </w:r>
                            <w:r w:rsidRPr="00D15440">
                              <w:t>he Department of Health and Human Services (HHS)</w:t>
                            </w:r>
                            <w:r>
                              <w:t xml:space="preserve"> recently</w:t>
                            </w:r>
                            <w:r w:rsidRPr="00D15440">
                              <w:t xml:space="preserve"> published a </w:t>
                            </w:r>
                            <w:hyperlink r:id="rId15" w:history="1">
                              <w:r w:rsidRPr="00D15440">
                                <w:rPr>
                                  <w:rStyle w:val="Hyperlink"/>
                                </w:rPr>
                                <w:t>final rule</w:t>
                              </w:r>
                            </w:hyperlink>
                            <w:r w:rsidRPr="00D15440">
                              <w:t xml:space="preserve"> increasing the civil monetary penalties for violations of laws enforced by HHS, including the HIPAA </w:t>
                            </w:r>
                            <w:hyperlink r:id="rId16" w:history="1">
                              <w:r w:rsidRPr="00D15440">
                                <w:rPr>
                                  <w:rStyle w:val="Hyperlink"/>
                                </w:rPr>
                                <w:t>privacy</w:t>
                              </w:r>
                            </w:hyperlink>
                            <w:r w:rsidRPr="00D15440">
                              <w:t xml:space="preserve"> and </w:t>
                            </w:r>
                            <w:hyperlink r:id="rId17" w:history="1">
                              <w:r w:rsidRPr="00D15440">
                                <w:rPr>
                                  <w:rStyle w:val="Hyperlink"/>
                                </w:rPr>
                                <w:t>security</w:t>
                              </w:r>
                            </w:hyperlink>
                            <w:r w:rsidRPr="00D15440">
                              <w:t xml:space="preserve"> rules.</w:t>
                            </w:r>
                          </w:p>
                          <w:p w:rsidR="00D15440" w:rsidRPr="00D15440" w:rsidRDefault="00136A03" w:rsidP="00D15440">
                            <w:pPr>
                              <w:pStyle w:val="Body"/>
                            </w:pPr>
                            <w:r w:rsidRPr="00D15440">
                              <w:t>HHS is required to adjust these penalties for inflation each year to improve their effectiveness and maintain their deterrent effect.</w:t>
                            </w:r>
                            <w:r w:rsidRPr="00D15440">
                              <w:t xml:space="preserve"> The new penalty amounts are effective for penalties assessed on or after Jan. 17, 2020. </w:t>
                            </w:r>
                          </w:p>
                          <w:p w:rsidR="009C336C" w:rsidRDefault="00136A03" w:rsidP="00D15440">
                            <w:pPr>
                              <w:pStyle w:val="2Header"/>
                            </w:pPr>
                            <w:r>
                              <w:t>2020 HIPAA Civil Penalties</w:t>
                            </w:r>
                          </w:p>
                          <w:p w:rsidR="00D15440" w:rsidRDefault="00136A03" w:rsidP="00D15440">
                            <w:pPr>
                              <w:pStyle w:val="Body"/>
                            </w:pPr>
                            <w:r w:rsidRPr="00D15440">
                              <w:t xml:space="preserve">HHS may assess civil penalties when it discovers a HIPAA violation. The penalty amount depends on the facts involved. </w:t>
                            </w:r>
                          </w:p>
                          <w:p w:rsidR="00D15440" w:rsidRDefault="00136A03" w:rsidP="00D15440">
                            <w:pPr>
                              <w:pStyle w:val="BulletList"/>
                            </w:pPr>
                            <w:r w:rsidRPr="00D15440">
                              <w:t xml:space="preserve">For violations where the covered entity does not know about the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15pt;margin-top:295.7pt;width:170pt;height:3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wIwIAAEUEAAAOAAAAZHJzL2Uyb0RvYy54bWysU01v2zAMvQ/YfxB0X+xkTboZcYqsRYYB&#10;RVsgGXpWZDk2YH1MUmJnv35Psp123U7DLjJF0hT53uPyppMNOQnraq1yOp2klAjFdVGrQ06/7zYf&#10;PlHiPFMFa7QSOT0LR29W798tW5OJma50UwhLUES5rDU5rbw3WZI4XgnJ3EQboRAstZXM42oPSWFZ&#10;i+qySWZpukhabQtjNRfOwXvXB+kq1i9Lwf1jWTrhSZNT9ObjaeO5D2eyWrLsYJmpaj60wf6hC8lq&#10;hUcvpe6YZ+Ro6z9KyZpb7XTpJ1zLRJdlzUWcAdNM0zfTbCtmRJwF4Dhzgcn9v7L84fRkSV2AOzCl&#10;mARHO9F58kV3BC7g0xqXIW1rkOg7+JE7+h2cYeyutDJ8MRBBHEifL+iGahzO2XT+OU0R4ohdpfPr&#10;xTzin7z8bqzzX4WWJBg5taAvospO986jFaSOKeE1pTd100QKG0XanC4+ouRvEfzRKPwYhuibDZbv&#10;9l0cej4OstfFGfNZ3SvEGb6p0cM9c/6JWUgCfUPm/hFH2Wi8pQeLkkrbn3/zh3wwhSglLSSWU/fj&#10;yKygpPmmwGHQYzSu5tczXOzo3b/2qqO81VDvFItkeDRDrm9Gs7RaPmML1uE1hJjieDOnfjRvfS94&#10;bBEX63VMgvoM8/dqa3goHTALyO66Z2bNAL8Hcw96FCHL3rDQ5w7Y9vgNF2g1cjXsVViG1/eY9bL9&#10;q18AAAD//wMAUEsDBBQABgAIAAAAIQCmwhac4AAAAAoBAAAPAAAAZHJzL2Rvd25yZXYueG1sTI/L&#10;TsMwEEX3SPyDNUjsWqdNoU2IU1VILRs2FCqxdOPJQ9jjKHbT8PcMK1iO7tG9Z4rt5KwYcQidJwWL&#10;eQICqfKmo0bBx/t+tgERoiajrSdU8I0BtuXtTaFz46/0huMxNoJLKORaQRtjn0sZqhadDnPfI3FW&#10;+8HpyOfQSDPoK5c7K5dJ8iid7ogXWt3jc4vV1/HiFMRQ2/3GvJjXfnc6HIZmzPCzVur+bto9gYg4&#10;xT8YfvVZHUp2OvsLmSCsglnKoIKHbLECwXmaZmsQZwaXabICWRby/wvlDwAAAP//AwBQSwECLQAU&#10;AAYACAAAACEAtoM4kv4AAADhAQAAEwAAAAAAAAAAAAAAAAAAAAAAW0NvbnRlbnRfVHlwZXNdLnht&#10;bFBLAQItABQABgAIAAAAIQA4/SH/1gAAAJQBAAALAAAAAAAAAAAAAAAAAC8BAABfcmVscy8ucmVs&#10;c1BLAQItABQABgAIAAAAIQA/JijwIwIAAEUEAAAOAAAAAAAAAAAAAAAAAC4CAABkcnMvZTJvRG9j&#10;LnhtbFBLAQItABQABgAIAAAAIQCmwhac4AAAAAoBAAAPAAAAAAAAAAAAAAAAAH0EAABkcnMvZG93&#10;bnJldi54bWxQSwUGAAAAAAQABADzAAAAigUAAAAA&#10;" filled="f" stroked="f" strokeweight=".5pt">
                <v:textbox inset="0,,0">
                  <w:txbxContent>
                    <w:p w:rsidR="00D15440" w:rsidRDefault="00136A03" w:rsidP="00D15440">
                      <w:pPr>
                        <w:pStyle w:val="Body"/>
                      </w:pPr>
                      <w:r>
                        <w:t>T</w:t>
                      </w:r>
                      <w:r w:rsidRPr="00D15440">
                        <w:t>he Department of Health and Human Services (HHS)</w:t>
                      </w:r>
                      <w:r>
                        <w:t xml:space="preserve"> recently</w:t>
                      </w:r>
                      <w:r w:rsidRPr="00D15440">
                        <w:t xml:space="preserve"> published a </w:t>
                      </w:r>
                      <w:hyperlink r:id="rId18" w:history="1">
                        <w:r w:rsidRPr="00D15440">
                          <w:rPr>
                            <w:rStyle w:val="Hyperlink"/>
                          </w:rPr>
                          <w:t>final rule</w:t>
                        </w:r>
                      </w:hyperlink>
                      <w:r w:rsidRPr="00D15440">
                        <w:t xml:space="preserve"> increasing the civil monetary penalties for violations of laws enforced by HHS, including the HIPAA </w:t>
                      </w:r>
                      <w:hyperlink r:id="rId19" w:history="1">
                        <w:r w:rsidRPr="00D15440">
                          <w:rPr>
                            <w:rStyle w:val="Hyperlink"/>
                          </w:rPr>
                          <w:t>privacy</w:t>
                        </w:r>
                      </w:hyperlink>
                      <w:r w:rsidRPr="00D15440">
                        <w:t xml:space="preserve"> and </w:t>
                      </w:r>
                      <w:hyperlink r:id="rId20" w:history="1">
                        <w:r w:rsidRPr="00D15440">
                          <w:rPr>
                            <w:rStyle w:val="Hyperlink"/>
                          </w:rPr>
                          <w:t>security</w:t>
                        </w:r>
                      </w:hyperlink>
                      <w:r w:rsidRPr="00D15440">
                        <w:t xml:space="preserve"> rules.</w:t>
                      </w:r>
                    </w:p>
                    <w:p w:rsidR="00D15440" w:rsidRPr="00D15440" w:rsidRDefault="00136A03" w:rsidP="00D15440">
                      <w:pPr>
                        <w:pStyle w:val="Body"/>
                      </w:pPr>
                      <w:r w:rsidRPr="00D15440">
                        <w:t>HHS is required to adjust these penalties for inflation each year to improve their effectiveness and maintain their deterrent effect.</w:t>
                      </w:r>
                      <w:r w:rsidRPr="00D15440">
                        <w:t xml:space="preserve"> The new penalty amounts are effective for penalties assessed on or after Jan. 17, 2020. </w:t>
                      </w:r>
                    </w:p>
                    <w:p w:rsidR="009C336C" w:rsidRDefault="00136A03" w:rsidP="00D15440">
                      <w:pPr>
                        <w:pStyle w:val="2Header"/>
                      </w:pPr>
                      <w:r>
                        <w:t>2020 HIPAA Civil Penalties</w:t>
                      </w:r>
                    </w:p>
                    <w:p w:rsidR="00D15440" w:rsidRDefault="00136A03" w:rsidP="00D15440">
                      <w:pPr>
                        <w:pStyle w:val="Body"/>
                      </w:pPr>
                      <w:r w:rsidRPr="00D15440">
                        <w:t xml:space="preserve">HHS may assess civil penalties when it discovers a HIPAA violation. The penalty amount depends on the facts involved. </w:t>
                      </w:r>
                    </w:p>
                    <w:p w:rsidR="00D15440" w:rsidRDefault="00136A03" w:rsidP="00D15440">
                      <w:pPr>
                        <w:pStyle w:val="BulletList"/>
                      </w:pPr>
                      <w:r w:rsidRPr="00D15440">
                        <w:t xml:space="preserve">For violations where the covered entity does not know about the </w:t>
                      </w:r>
                    </w:p>
                  </w:txbxContent>
                </v:textbox>
                <w10:wrap anchorx="margin"/>
              </v:shape>
            </w:pict>
          </mc:Fallback>
        </mc:AlternateContent>
      </w:r>
      <w:r w:rsidR="009054EF">
        <w:rPr>
          <w:noProof/>
        </w:rPr>
        <mc:AlternateContent>
          <mc:Choice Requires="wps">
            <w:drawing>
              <wp:anchor distT="0" distB="0" distL="114300" distR="114300" simplePos="0" relativeHeight="251673600" behindDoc="0" locked="0" layoutInCell="1" allowOverlap="1">
                <wp:simplePos x="0" y="0"/>
                <wp:positionH relativeFrom="margin">
                  <wp:posOffset>2322195</wp:posOffset>
                </wp:positionH>
                <wp:positionV relativeFrom="paragraph">
                  <wp:posOffset>3736340</wp:posOffset>
                </wp:positionV>
                <wp:extent cx="2133600" cy="4000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33600" cy="4000500"/>
                        </a:xfrm>
                        <a:prstGeom prst="rect">
                          <a:avLst/>
                        </a:prstGeom>
                        <a:noFill/>
                        <a:ln w="6350">
                          <a:noFill/>
                        </a:ln>
                      </wps:spPr>
                      <wps:txbx>
                        <w:txbxContent>
                          <w:p w:rsidR="00D15440" w:rsidRPr="00D15440" w:rsidRDefault="00136A03" w:rsidP="00D15440">
                            <w:pPr>
                              <w:pStyle w:val="BulletList"/>
                              <w:numPr>
                                <w:ilvl w:val="0"/>
                                <w:numId w:val="0"/>
                              </w:numPr>
                              <w:ind w:left="273"/>
                            </w:pPr>
                            <w:r w:rsidRPr="00D15440">
                              <w:t>violation (and by exercising reasonable diligence, would not have known about the violation)</w:t>
                            </w:r>
                            <w:r w:rsidR="00892E0B">
                              <w:t>,</w:t>
                            </w:r>
                            <w:r w:rsidRPr="00D15440">
                              <w:t xml:space="preserve"> the penalty amount is between $119 and $59,522 for each violation.  </w:t>
                            </w:r>
                          </w:p>
                          <w:p w:rsidR="00D15440" w:rsidRPr="00D15440" w:rsidRDefault="00136A03" w:rsidP="00D15440">
                            <w:pPr>
                              <w:pStyle w:val="BulletList"/>
                            </w:pPr>
                            <w:r w:rsidRPr="00D15440">
                              <w:t>If the violation is due t</w:t>
                            </w:r>
                            <w:r w:rsidRPr="00D15440">
                              <w:t xml:space="preserve">o reasonable cause, the penalty amount is between $1,191 and $59,522 for each violation. </w:t>
                            </w:r>
                          </w:p>
                          <w:p w:rsidR="00D15440" w:rsidRPr="00D15440" w:rsidRDefault="00136A03" w:rsidP="00D15440">
                            <w:pPr>
                              <w:pStyle w:val="BulletList"/>
                            </w:pPr>
                            <w:r w:rsidRPr="00D15440">
                              <w:t xml:space="preserve">For corrected violations that are caused by willful neglect, the penalty amount is between $11,904 and $59,522 for each violation. </w:t>
                            </w:r>
                          </w:p>
                          <w:p w:rsidR="00D15440" w:rsidRPr="00D15440" w:rsidRDefault="00136A03" w:rsidP="00D15440">
                            <w:pPr>
                              <w:pStyle w:val="BulletList"/>
                            </w:pPr>
                            <w:r w:rsidRPr="00D15440">
                              <w:t>For violations caused by willful n</w:t>
                            </w:r>
                            <w:r w:rsidRPr="00D15440">
                              <w:t xml:space="preserve">eglect that are not corrected, the penalty amount is $59,522 per violation, with an annual cap of $1,785,651 for all violations of an identical requirement.  </w:t>
                            </w:r>
                          </w:p>
                          <w:p w:rsidR="009C336C" w:rsidRDefault="009C336C" w:rsidP="003E2CDC">
                            <w:pPr>
                              <w:pStyle w:val="Body"/>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182.85pt;margin-top:294.2pt;width:168pt;height: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yIgIAAEUEAAAOAAAAZHJzL2Uyb0RvYy54bWysU8tu2zAQvBfoPxC815Lt2C0Ey4GbwEWB&#10;IAlgFznTFGUJEB8laUvu13dISU6Q9lT0Qu1Ls7uzu6vbTjbkLKyrtcrpdJJSIhTXRa2OOf2x3376&#10;QonzTBWs0Urk9CIcvV1//LBqTSZmutJNISwBiHJZa3JaeW+yJHG8EpK5iTZCwVlqK5mHao9JYVkL&#10;dNkkszRdJq22hbGaC+dgve+ddB3xy1Jw/1SWTnjS5BS1+fja+B7Cm6xXLDtaZqqaD2Wwf6hCsloh&#10;6RXqnnlGTrb+A0rW3GqnSz/hWia6LGsuYg/oZpq+62ZXMSNiLyDHmStN7v/B8sfzsyV1kdMZ6FFM&#10;YkZ70XnyVXcEJvDTGpchbGcQ6DvYMefR7mAMbXelleGLhgj8gLpc2Q1oHMbZdD5fpnBx+G7SNF1A&#10;AX7y+ruxzn8TWpIg5NRifJFVdn5wvg8dQ0I2pbd108QRNoq0OV3OF2n84eoBeKOQIzTRFxsk3x26&#10;2PRybOSgiwv6s7rfEGf4tkYND8z5Z2axEqgba+6f8JSNRi49SJRU2v76mz3EY1LwUtJixXLqfp6Y&#10;FZQ03xVmCEgfhZvFZ1BN7Gg9vLWqk7zT2N4pDsnwKIZY34xiabV8wRVsQja4mOLImVM/ine+X3hc&#10;ERebTQzC9hnmH9TO8AAd2AzM7rsXZs1Av8fkHvW4hCx7N4U+duC2529QsKtxrMNdhWN4q8eo1+tf&#10;/wYAAP//AwBQSwMEFAAGAAgAAAAhAD8NySHgAAAADAEAAA8AAABkcnMvZG93bnJldi54bWxMj01P&#10;wzAMhu9I/IfISNxY2sG2rjSdJqSNCxcGSDtmjfshGqdKsq78e8yJHf360evHxWayvRjRh86RgnSW&#10;gECqnOmoUfD5sXvIQISoyejeESr4wQCb8vam0LlxF3rH8RAbwSUUcq2gjXHIpQxVi1aHmRuQeFc7&#10;b3Xk0TfSeH3hctvLeZIspdUd8YVWD/jSYvV9OFsFMdT9LjOv5m3Yfu33vhnXeKyVur+bts8gIk7x&#10;H4Y/fVaHkp1O7kwmiF7B43KxYlTBIsueQDCxSlJOTozOU45kWcjrJ8pfAAAA//8DAFBLAQItABQA&#10;BgAIAAAAIQC2gziS/gAAAOEBAAATAAAAAAAAAAAAAAAAAAAAAABbQ29udGVudF9UeXBlc10ueG1s&#10;UEsBAi0AFAAGAAgAAAAhADj9If/WAAAAlAEAAAsAAAAAAAAAAAAAAAAALwEAAF9yZWxzLy5yZWxz&#10;UEsBAi0AFAAGAAgAAAAhAFvtf7IiAgAARQQAAA4AAAAAAAAAAAAAAAAALgIAAGRycy9lMm9Eb2Mu&#10;eG1sUEsBAi0AFAAGAAgAAAAhAD8NySHgAAAADAEAAA8AAAAAAAAAAAAAAAAAfAQAAGRycy9kb3du&#10;cmV2LnhtbFBLBQYAAAAABAAEAPMAAACJBQAAAAA=&#10;" filled="f" stroked="f" strokeweight=".5pt">
                <v:textbox inset="0,,0">
                  <w:txbxContent>
                    <w:p w:rsidR="00D15440" w:rsidRPr="00D15440" w:rsidRDefault="00136A03" w:rsidP="00D15440">
                      <w:pPr>
                        <w:pStyle w:val="BulletList"/>
                        <w:numPr>
                          <w:ilvl w:val="0"/>
                          <w:numId w:val="0"/>
                        </w:numPr>
                        <w:ind w:left="273"/>
                      </w:pPr>
                      <w:r w:rsidRPr="00D15440">
                        <w:t>violation (and by exercising reasonable diligence, would not have known about the violation)</w:t>
                      </w:r>
                      <w:r w:rsidR="00892E0B">
                        <w:t>,</w:t>
                      </w:r>
                      <w:r w:rsidRPr="00D15440">
                        <w:t xml:space="preserve"> the penalty amount is between $119 and $59,522 for each violation.  </w:t>
                      </w:r>
                    </w:p>
                    <w:p w:rsidR="00D15440" w:rsidRPr="00D15440" w:rsidRDefault="00136A03" w:rsidP="00D15440">
                      <w:pPr>
                        <w:pStyle w:val="BulletList"/>
                      </w:pPr>
                      <w:r w:rsidRPr="00D15440">
                        <w:t>If the violation is due t</w:t>
                      </w:r>
                      <w:r w:rsidRPr="00D15440">
                        <w:t xml:space="preserve">o reasonable cause, the penalty amount is between $1,191 and $59,522 for each violation. </w:t>
                      </w:r>
                    </w:p>
                    <w:p w:rsidR="00D15440" w:rsidRPr="00D15440" w:rsidRDefault="00136A03" w:rsidP="00D15440">
                      <w:pPr>
                        <w:pStyle w:val="BulletList"/>
                      </w:pPr>
                      <w:r w:rsidRPr="00D15440">
                        <w:t xml:space="preserve">For corrected violations that are caused by willful neglect, the penalty amount is between $11,904 and $59,522 for each violation. </w:t>
                      </w:r>
                    </w:p>
                    <w:p w:rsidR="00D15440" w:rsidRPr="00D15440" w:rsidRDefault="00136A03" w:rsidP="00D15440">
                      <w:pPr>
                        <w:pStyle w:val="BulletList"/>
                      </w:pPr>
                      <w:r w:rsidRPr="00D15440">
                        <w:t>For violations caused by willful n</w:t>
                      </w:r>
                      <w:r w:rsidRPr="00D15440">
                        <w:t xml:space="preserve">eglect that are not corrected, the penalty amount is $59,522 per violation, with an annual cap of $1,785,651 for all violations of an identical requirement.  </w:t>
                      </w:r>
                    </w:p>
                    <w:p w:rsidR="009C336C" w:rsidRDefault="009C336C" w:rsidP="003E2CDC">
                      <w:pPr>
                        <w:pStyle w:val="Body"/>
                      </w:pPr>
                    </w:p>
                  </w:txbxContent>
                </v:textbox>
                <w10:wrap anchorx="margin"/>
              </v:shape>
            </w:pict>
          </mc:Fallback>
        </mc:AlternateContent>
      </w:r>
      <w:r w:rsidR="00C13860" w:rsidRPr="00D001DF">
        <w:rPr>
          <w:noProof/>
        </w:rPr>
        <mc:AlternateContent>
          <mc:Choice Requires="wps">
            <w:drawing>
              <wp:anchor distT="0" distB="0" distL="114300" distR="114300" simplePos="0" relativeHeight="251660288" behindDoc="0" locked="0" layoutInCell="1" allowOverlap="1">
                <wp:simplePos x="0" y="0"/>
                <wp:positionH relativeFrom="margin">
                  <wp:posOffset>998220</wp:posOffset>
                </wp:positionH>
                <wp:positionV relativeFrom="page">
                  <wp:posOffset>9124950</wp:posOffset>
                </wp:positionV>
                <wp:extent cx="2329815" cy="73596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2329815" cy="735965"/>
                        </a:xfrm>
                        <a:prstGeom prst="rect">
                          <a:avLst/>
                        </a:prstGeom>
                        <a:noFill/>
                        <a:ln w="6350">
                          <a:noFill/>
                        </a:ln>
                      </wps:spPr>
                      <wps:txbx>
                        <w:txbxContent>
                          <w:p w:rsidR="00CB25AA" w:rsidRPr="00C13860" w:rsidRDefault="00136A03" w:rsidP="00F90E5E">
                            <w:pPr>
                              <w:spacing w:after="0" w:line="240" w:lineRule="auto"/>
                              <w:jc w:val="center"/>
                              <w:rPr>
                                <w:rFonts w:cstheme="minorHAnsi"/>
                                <w:sz w:val="20"/>
                                <w:szCs w:val="20"/>
                              </w:rPr>
                            </w:pPr>
                            <w:r w:rsidRPr="00C13860">
                              <w:rPr>
                                <w:rFonts w:cstheme="minorHAnsi"/>
                                <w:sz w:val="20"/>
                                <w:szCs w:val="20"/>
                              </w:rPr>
                              <w:t>Provided by</w:t>
                            </w:r>
                          </w:p>
                          <w:p w:rsidR="00CB25AA" w:rsidRPr="00C13860" w:rsidRDefault="00136A03" w:rsidP="00F90E5E">
                            <w:pPr>
                              <w:spacing w:after="0" w:line="240" w:lineRule="auto"/>
                              <w:jc w:val="center"/>
                              <w:rPr>
                                <w:rFonts w:cstheme="minorHAnsi"/>
                                <w:sz w:val="20"/>
                                <w:szCs w:val="20"/>
                              </w:rPr>
                            </w:pPr>
                            <w:r w:rsidRPr="00C13860">
                              <w:rPr>
                                <w:rFonts w:cstheme="minorHAnsi"/>
                                <w:sz w:val="20"/>
                                <w:szCs w:val="20"/>
                              </w:rPr>
                              <w:t>The Richards Group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78.6pt;margin-top:718.5pt;width:183.45pt;height:57.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oGEQIAABgEAAAOAAAAZHJzL2Uyb0RvYy54bWysU8tu2zAQvBfoPxC81/KjdhLBcuAmcC9G&#10;EsAucqYpyhIgPkrSltyv75CSnCDtqeiFWu6uhpzZ4fK+lTU5C+sqrTI6GY0pEYrrvFLHjP7Yb77c&#10;UuI8UzmrtRIZvQhH71efPy0bk4qpLnWdC0sAolzamIyW3ps0SRwvhWRupI1QKBbaSuaxtcckt6wB&#10;uqyT6Xi8SBptc2M1F84h+9gV6SriF4Xg/rkonPCkziju5uNq43oIa7JasvRomSkr3l+D/cMtJKsU&#10;Dr1CPTLPyMlWf0DJilvtdOFHXMtEF0XFReQANpPxBza7khkRuUAcZ64yuf8Hy5/OL5ZUOWb3lRLF&#10;JGa0F60n33RLkII+jXEp2nYGjb5FHr1D3iEZaLeFleELQgR1KH25qhvQOJLT2fTudjKnhKN2M5vf&#10;LeYBJnn721jnvwstSQgyajG9KCo7b53vWoeWcJjSm6qu4wRrRZqMLmbzcfzhWgF4rXBG4NDdNUS+&#10;PbSR883A46DzC+hZ3RnEGb6pcIctc/6FWTgCjOBy/4ylqDXO0n1ESantr7/lQz8GhSolDRyWUffz&#10;xKyAzCf5oGHICd6G4TEEvvX1EBZWy1cYex0QUGKKAyejfggffOdhPAwu1uvYBEMZ5rdqZ3iADgoF&#10;tfbtK7Oml9RjGE968BVLPyjb9fZ6dZr0G9gvjqp/KsHf7/ex6+1Br34DAAD//wMAUEsDBBQABgAI&#10;AAAAIQBz8uao4wAAAA0BAAAPAAAAZHJzL2Rvd25yZXYueG1sTI/NTsMwEITvSLyDtUjcqFPT0BLi&#10;VFWkCgnBoaUXbk68TSL8E2K3DX36bk9w29F8mp3Jl6M17IhD6LyTMJ0kwNDVXneukbD7XD8sgIWo&#10;nFbGO5TwiwGWxe1NrjLtT26Dx21sGIW4kCkJbYx9xnmoW7QqTHyPjry9H6yKJIeG60GdKNwaLpLk&#10;iVvVOfrQqh7LFuvv7cFKeCvXH2pTCbs4m/L1fb/qf3ZfqZT3d+PqBVjEMf7BcK1P1aGgTpU/OB2Y&#10;IZ3OBaF0zB7ntIqQVMymwKqrl4pn4EXO/68oLgAAAP//AwBQSwECLQAUAAYACAAAACEAtoM4kv4A&#10;AADhAQAAEwAAAAAAAAAAAAAAAAAAAAAAW0NvbnRlbnRfVHlwZXNdLnhtbFBLAQItABQABgAIAAAA&#10;IQA4/SH/1gAAAJQBAAALAAAAAAAAAAAAAAAAAC8BAABfcmVscy8ucmVsc1BLAQItABQABgAIAAAA&#10;IQDriboGEQIAABgEAAAOAAAAAAAAAAAAAAAAAC4CAABkcnMvZTJvRG9jLnhtbFBLAQItABQABgAI&#10;AAAAIQBz8uao4wAAAA0BAAAPAAAAAAAAAAAAAAAAAGsEAABkcnMvZG93bnJldi54bWxQSwUGAAAA&#10;AAQABADzAAAAewUAAAAA&#10;" filled="f" stroked="f" strokeweight=".5pt">
                <v:textbox>
                  <w:txbxContent>
                    <w:p w:rsidR="00CB25AA" w:rsidRPr="00C13860" w:rsidRDefault="00136A03" w:rsidP="00F90E5E">
                      <w:pPr>
                        <w:spacing w:after="0" w:line="240" w:lineRule="auto"/>
                        <w:jc w:val="center"/>
                        <w:rPr>
                          <w:rFonts w:cstheme="minorHAnsi"/>
                          <w:sz w:val="20"/>
                          <w:szCs w:val="20"/>
                        </w:rPr>
                      </w:pPr>
                      <w:r w:rsidRPr="00C13860">
                        <w:rPr>
                          <w:rFonts w:cstheme="minorHAnsi"/>
                          <w:sz w:val="20"/>
                          <w:szCs w:val="20"/>
                        </w:rPr>
                        <w:t>Provided by</w:t>
                      </w:r>
                    </w:p>
                    <w:p w:rsidR="00CB25AA" w:rsidRPr="00C13860" w:rsidRDefault="00136A03" w:rsidP="00F90E5E">
                      <w:pPr>
                        <w:spacing w:after="0" w:line="240" w:lineRule="auto"/>
                        <w:jc w:val="center"/>
                        <w:rPr>
                          <w:rFonts w:cstheme="minorHAnsi"/>
                          <w:sz w:val="20"/>
                          <w:szCs w:val="20"/>
                        </w:rPr>
                      </w:pPr>
                      <w:r w:rsidRPr="00C13860">
                        <w:rPr>
                          <w:rFonts w:cstheme="minorHAnsi"/>
                          <w:sz w:val="20"/>
                          <w:szCs w:val="20"/>
                        </w:rPr>
                        <w:t>The Richards Group</w:t>
                      </w:r>
                    </w:p>
                  </w:txbxContent>
                </v:textbox>
                <w10:wrap anchorx="margin" anchory="page"/>
              </v:shape>
            </w:pict>
          </mc:Fallback>
        </mc:AlternateContent>
      </w:r>
      <w:r w:rsidR="000A22E5" w:rsidRPr="008D08A1">
        <w:rPr>
          <w:noProof/>
        </w:rPr>
        <mc:AlternateContent>
          <mc:Choice Requires="wps">
            <w:drawing>
              <wp:anchor distT="0" distB="0" distL="114300" distR="114300" simplePos="0" relativeHeight="251661312" behindDoc="1" locked="0" layoutInCell="1" allowOverlap="1">
                <wp:simplePos x="0" y="0"/>
                <wp:positionH relativeFrom="leftMargin">
                  <wp:posOffset>258283</wp:posOffset>
                </wp:positionH>
                <wp:positionV relativeFrom="page">
                  <wp:posOffset>9645015</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0A22E5" w:rsidRPr="000A22E5" w:rsidRDefault="00136A03" w:rsidP="000A22E5">
                            <w:pPr>
                              <w:jc w:val="center"/>
                              <w:rPr>
                                <w:rFonts w:ascii="Arial" w:hAnsi="Arial" w:cs="Arial"/>
                                <w:color w:val="FFFFFF" w:themeColor="background1"/>
                                <w:sz w:val="16"/>
                                <w:szCs w:val="16"/>
                              </w:rPr>
                            </w:pPr>
                            <w:r w:rsidRPr="000A22E5">
                              <w:rPr>
                                <w:rFonts w:ascii="Arial" w:hAnsi="Arial" w:cs="Arial"/>
                                <w:color w:val="FFFFFF" w:themeColor="background1"/>
                                <w:sz w:val="16"/>
                                <w:szCs w:val="16"/>
                              </w:rPr>
                              <w:t>© 20</w:t>
                            </w:r>
                            <w:r w:rsidR="0084422A">
                              <w:rPr>
                                <w:rFonts w:ascii="Arial" w:hAnsi="Arial" w:cs="Arial"/>
                                <w:color w:val="FFFFFF" w:themeColor="background1"/>
                                <w:sz w:val="16"/>
                                <w:szCs w:val="16"/>
                              </w:rPr>
                              <w:t>20</w:t>
                            </w:r>
                            <w:r w:rsidRPr="000A22E5">
                              <w:rPr>
                                <w:rFonts w:ascii="Arial" w:hAnsi="Arial" w:cs="Arial"/>
                                <w:color w:val="FFFFFF" w:themeColor="background1"/>
                                <w:sz w:val="16"/>
                                <w:szCs w:val="16"/>
                              </w:rPr>
                              <w:t xml:space="preserve"> Zywave, Inc. All rights reserved</w:t>
                            </w:r>
                            <w:r w:rsidR="00474982">
                              <w:rPr>
                                <w:rFonts w:ascii="Arial" w:hAnsi="Arial" w:cs="Arial"/>
                                <w:color w:val="FFFFFF" w:themeColor="background1"/>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20.35pt;margin-top:759.45pt;width:163.1pt;height:16.5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oMDwIAABgEAAAOAAAAZHJzL2Uyb0RvYy54bWysU01v2zAMvQ/YfxB0X2ynaBsYcYqsRXYJ&#10;2gLJ0LMiy7EB62OSEjv79XuS7XTodhp2oSmSfiIfn5YPvWzJWVjXaFXQbJZSIhTXZaOOBf2+33xZ&#10;UOI8UyVrtRIFvQhHH1afPy07k4u5rnVbCksAolzemYLW3ps8SRyvhWRupo1QSFbaSuZxtMektKwD&#10;umyTeZreJZ22pbGaC+cQfRqSdBXxq0pw/1JVTnjSFhS9+WhttIdgk9WS5UfLTN3wsQ32D11I1ihc&#10;eoV6Yp6Rk23+gJINt9rpys+4lomuqoaLOAOmydIP0+xqZkScBeQ4c6XJ/T9Y/nx+taQpsbs5JYpJ&#10;7Ggvek++6p4gBH4643KU7QwKfY84aqe4QzCM3VdWhi8GIsiD6cuV3YDGEZyn99nNPVIcuXmWZovb&#10;AJO8/22s89+EliQ4BbXYXiSVnbfOD6VTSbhM6U3TtnGDrSJdQe9ubtP4wzUD8FbhjjDD0GvwfH/o&#10;48yLaY6DLi8Yz+pBIM7wTYMetsz5V2ahCLQNlfsXmKrVuEuPHiW1tj//Fg/1WBSylHRQWEHdjxOz&#10;AjSf5KOGIDO8DcOjC3zr28mtrJZvEPY6ICDFFAdOQf3kPvpBw3gYXKzXsQiCMsxv1c7wAB0YCmzt&#10;+zdmzUipxzKe9aQrln9gdqgd+Ro4GQ+QX1zV+FSCvn8/x6r3B736BQAA//8DAFBLAwQUAAYACAAA&#10;ACEAUvpvjOMAAAAMAQAADwAAAGRycy9kb3ducmV2LnhtbEyPT0+DQBDF7yZ+h82YeLNLUZAiS9OQ&#10;NCbGHlp76W1hp0DcP8huW/TTOz3pbea9lze/KZaT0eyMo++dFTCfRcDQNk71thWw/1g/ZMB8kFZJ&#10;7SwK+EYPy/L2ppC5che7xfMutIxKrM+lgC6EIefcNx0a6WduQEve0Y1GBlrHlqtRXqjcaB5HUcqN&#10;7C1d6OSAVYfN5+5kBLxV643c1rHJfnT1+n5cDV/7QyLE/d20egEWcAp/YbjiEzqUxFS7k1WeaQFP&#10;0TMlSU/m2QIYJR7TlIb6KiVxBLws+P8nyl8AAAD//wMAUEsBAi0AFAAGAAgAAAAhALaDOJL+AAAA&#10;4QEAABMAAAAAAAAAAAAAAAAAAAAAAFtDb250ZW50X1R5cGVzXS54bWxQSwECLQAUAAYACAAAACEA&#10;OP0h/9YAAACUAQAACwAAAAAAAAAAAAAAAAAvAQAAX3JlbHMvLnJlbHNQSwECLQAUAAYACAAAACEA&#10;YXlqDA8CAAAYBAAADgAAAAAAAAAAAAAAAAAuAgAAZHJzL2Uyb0RvYy54bWxQSwECLQAUAAYACAAA&#10;ACEAUvpvjOMAAAAMAQAADwAAAAAAAAAAAAAAAABpBAAAZHJzL2Rvd25yZXYueG1sUEsFBgAAAAAE&#10;AAQA8wAAAHkFAAAAAA==&#10;" filled="f" stroked="f" strokeweight=".5pt">
                <v:textbox>
                  <w:txbxContent>
                    <w:p w:rsidR="000A22E5" w:rsidRPr="000A22E5" w:rsidRDefault="00136A03" w:rsidP="000A22E5">
                      <w:pPr>
                        <w:jc w:val="center"/>
                        <w:rPr>
                          <w:rFonts w:ascii="Arial" w:hAnsi="Arial" w:cs="Arial"/>
                          <w:color w:val="FFFFFF" w:themeColor="background1"/>
                          <w:sz w:val="16"/>
                          <w:szCs w:val="16"/>
                        </w:rPr>
                      </w:pPr>
                      <w:r w:rsidRPr="000A22E5">
                        <w:rPr>
                          <w:rFonts w:ascii="Arial" w:hAnsi="Arial" w:cs="Arial"/>
                          <w:color w:val="FFFFFF" w:themeColor="background1"/>
                          <w:sz w:val="16"/>
                          <w:szCs w:val="16"/>
                        </w:rPr>
                        <w:t>© 20</w:t>
                      </w:r>
                      <w:r w:rsidR="0084422A">
                        <w:rPr>
                          <w:rFonts w:ascii="Arial" w:hAnsi="Arial" w:cs="Arial"/>
                          <w:color w:val="FFFFFF" w:themeColor="background1"/>
                          <w:sz w:val="16"/>
                          <w:szCs w:val="16"/>
                        </w:rPr>
                        <w:t>20</w:t>
                      </w:r>
                      <w:r w:rsidRPr="000A22E5">
                        <w:rPr>
                          <w:rFonts w:ascii="Arial" w:hAnsi="Arial" w:cs="Arial"/>
                          <w:color w:val="FFFFFF" w:themeColor="background1"/>
                          <w:sz w:val="16"/>
                          <w:szCs w:val="16"/>
                        </w:rPr>
                        <w:t xml:space="preserve"> Zywave, Inc. All rights reserved</w:t>
                      </w:r>
                      <w:r w:rsidR="00474982">
                        <w:rPr>
                          <w:rFonts w:ascii="Arial" w:hAnsi="Arial" w:cs="Arial"/>
                          <w:color w:val="FFFFFF" w:themeColor="background1"/>
                          <w:sz w:val="16"/>
                          <w:szCs w:val="16"/>
                        </w:rPr>
                        <w:t>.</w:t>
                      </w:r>
                    </w:p>
                  </w:txbxContent>
                </v:textbox>
                <w10:wrap anchorx="margin" anchory="page"/>
              </v:shape>
            </w:pict>
          </mc:Fallback>
        </mc:AlternateContent>
      </w:r>
    </w:p>
    <w:sectPr w:rsidR="0096300C" w:rsidRPr="00D001DF" w:rsidSect="006B7630">
      <w:headerReference w:type="default" r:id="rId21"/>
      <w:type w:val="continuous"/>
      <w:pgSz w:w="12240" w:h="15840"/>
      <w:pgMar w:top="432" w:right="720" w:bottom="1440" w:left="4608" w:header="720" w:footer="720" w:gutter="0"/>
      <w:cols w:num="2" w:space="2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36A03">
      <w:pPr>
        <w:spacing w:after="0" w:line="240" w:lineRule="auto"/>
      </w:pPr>
      <w:r>
        <w:separator/>
      </w:r>
    </w:p>
  </w:endnote>
  <w:endnote w:type="continuationSeparator" w:id="0">
    <w:p w:rsidR="00000000" w:rsidRDefault="00136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36A03">
      <w:pPr>
        <w:spacing w:after="0" w:line="240" w:lineRule="auto"/>
      </w:pPr>
      <w:r>
        <w:separator/>
      </w:r>
    </w:p>
  </w:footnote>
  <w:footnote w:type="continuationSeparator" w:id="0">
    <w:p w:rsidR="00000000" w:rsidRDefault="00136A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E14" w:rsidRDefault="00136A03">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84788"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4378"/>
    <w:multiLevelType w:val="hybridMultilevel"/>
    <w:tmpl w:val="4A6CA8A0"/>
    <w:lvl w:ilvl="0" w:tplc="F9C6E8C4">
      <w:start w:val="1"/>
      <w:numFmt w:val="bullet"/>
      <w:lvlText w:val=""/>
      <w:lvlJc w:val="left"/>
      <w:pPr>
        <w:ind w:left="720" w:hanging="360"/>
      </w:pPr>
      <w:rPr>
        <w:rFonts w:ascii="Symbol" w:hAnsi="Symbol" w:hint="default"/>
      </w:rPr>
    </w:lvl>
    <w:lvl w:ilvl="1" w:tplc="2D1CDC36" w:tentative="1">
      <w:start w:val="1"/>
      <w:numFmt w:val="bullet"/>
      <w:lvlText w:val="o"/>
      <w:lvlJc w:val="left"/>
      <w:pPr>
        <w:ind w:left="1440" w:hanging="360"/>
      </w:pPr>
      <w:rPr>
        <w:rFonts w:ascii="Courier New" w:hAnsi="Courier New" w:cs="Courier New" w:hint="default"/>
      </w:rPr>
    </w:lvl>
    <w:lvl w:ilvl="2" w:tplc="BD46DCC2" w:tentative="1">
      <w:start w:val="1"/>
      <w:numFmt w:val="bullet"/>
      <w:lvlText w:val=""/>
      <w:lvlJc w:val="left"/>
      <w:pPr>
        <w:ind w:left="2160" w:hanging="360"/>
      </w:pPr>
      <w:rPr>
        <w:rFonts w:ascii="Wingdings" w:hAnsi="Wingdings" w:hint="default"/>
      </w:rPr>
    </w:lvl>
    <w:lvl w:ilvl="3" w:tplc="ACE09B5A" w:tentative="1">
      <w:start w:val="1"/>
      <w:numFmt w:val="bullet"/>
      <w:lvlText w:val=""/>
      <w:lvlJc w:val="left"/>
      <w:pPr>
        <w:ind w:left="2880" w:hanging="360"/>
      </w:pPr>
      <w:rPr>
        <w:rFonts w:ascii="Symbol" w:hAnsi="Symbol" w:hint="default"/>
      </w:rPr>
    </w:lvl>
    <w:lvl w:ilvl="4" w:tplc="6C1A8F40" w:tentative="1">
      <w:start w:val="1"/>
      <w:numFmt w:val="bullet"/>
      <w:lvlText w:val="o"/>
      <w:lvlJc w:val="left"/>
      <w:pPr>
        <w:ind w:left="3600" w:hanging="360"/>
      </w:pPr>
      <w:rPr>
        <w:rFonts w:ascii="Courier New" w:hAnsi="Courier New" w:cs="Courier New" w:hint="default"/>
      </w:rPr>
    </w:lvl>
    <w:lvl w:ilvl="5" w:tplc="02D4B6B6" w:tentative="1">
      <w:start w:val="1"/>
      <w:numFmt w:val="bullet"/>
      <w:lvlText w:val=""/>
      <w:lvlJc w:val="left"/>
      <w:pPr>
        <w:ind w:left="4320" w:hanging="360"/>
      </w:pPr>
      <w:rPr>
        <w:rFonts w:ascii="Wingdings" w:hAnsi="Wingdings" w:hint="default"/>
      </w:rPr>
    </w:lvl>
    <w:lvl w:ilvl="6" w:tplc="E3B09B80" w:tentative="1">
      <w:start w:val="1"/>
      <w:numFmt w:val="bullet"/>
      <w:lvlText w:val=""/>
      <w:lvlJc w:val="left"/>
      <w:pPr>
        <w:ind w:left="5040" w:hanging="360"/>
      </w:pPr>
      <w:rPr>
        <w:rFonts w:ascii="Symbol" w:hAnsi="Symbol" w:hint="default"/>
      </w:rPr>
    </w:lvl>
    <w:lvl w:ilvl="7" w:tplc="F258B3FA" w:tentative="1">
      <w:start w:val="1"/>
      <w:numFmt w:val="bullet"/>
      <w:lvlText w:val="o"/>
      <w:lvlJc w:val="left"/>
      <w:pPr>
        <w:ind w:left="5760" w:hanging="360"/>
      </w:pPr>
      <w:rPr>
        <w:rFonts w:ascii="Courier New" w:hAnsi="Courier New" w:cs="Courier New" w:hint="default"/>
      </w:rPr>
    </w:lvl>
    <w:lvl w:ilvl="8" w:tplc="1F1828CA" w:tentative="1">
      <w:start w:val="1"/>
      <w:numFmt w:val="bullet"/>
      <w:lvlText w:val=""/>
      <w:lvlJc w:val="left"/>
      <w:pPr>
        <w:ind w:left="6480" w:hanging="360"/>
      </w:pPr>
      <w:rPr>
        <w:rFonts w:ascii="Wingdings" w:hAnsi="Wingdings" w:hint="default"/>
      </w:rPr>
    </w:lvl>
  </w:abstractNum>
  <w:abstractNum w:abstractNumId="1" w15:restartNumberingAfterBreak="0">
    <w:nsid w:val="1C9531B8"/>
    <w:multiLevelType w:val="hybridMultilevel"/>
    <w:tmpl w:val="2FBCC732"/>
    <w:lvl w:ilvl="0" w:tplc="36140DEC">
      <w:start w:val="1"/>
      <w:numFmt w:val="bullet"/>
      <w:lvlText w:val=""/>
      <w:lvlJc w:val="left"/>
      <w:pPr>
        <w:ind w:left="720" w:hanging="360"/>
      </w:pPr>
      <w:rPr>
        <w:rFonts w:ascii="Symbol" w:hAnsi="Symbol" w:hint="default"/>
      </w:rPr>
    </w:lvl>
    <w:lvl w:ilvl="1" w:tplc="564E7FB8" w:tentative="1">
      <w:start w:val="1"/>
      <w:numFmt w:val="bullet"/>
      <w:lvlText w:val="o"/>
      <w:lvlJc w:val="left"/>
      <w:pPr>
        <w:ind w:left="1440" w:hanging="360"/>
      </w:pPr>
      <w:rPr>
        <w:rFonts w:ascii="Courier New" w:hAnsi="Courier New" w:cs="Courier New" w:hint="default"/>
      </w:rPr>
    </w:lvl>
    <w:lvl w:ilvl="2" w:tplc="313AD2DA" w:tentative="1">
      <w:start w:val="1"/>
      <w:numFmt w:val="bullet"/>
      <w:lvlText w:val=""/>
      <w:lvlJc w:val="left"/>
      <w:pPr>
        <w:ind w:left="2160" w:hanging="360"/>
      </w:pPr>
      <w:rPr>
        <w:rFonts w:ascii="Wingdings" w:hAnsi="Wingdings" w:hint="default"/>
      </w:rPr>
    </w:lvl>
    <w:lvl w:ilvl="3" w:tplc="B5169BAA" w:tentative="1">
      <w:start w:val="1"/>
      <w:numFmt w:val="bullet"/>
      <w:lvlText w:val=""/>
      <w:lvlJc w:val="left"/>
      <w:pPr>
        <w:ind w:left="2880" w:hanging="360"/>
      </w:pPr>
      <w:rPr>
        <w:rFonts w:ascii="Symbol" w:hAnsi="Symbol" w:hint="default"/>
      </w:rPr>
    </w:lvl>
    <w:lvl w:ilvl="4" w:tplc="4AE22982" w:tentative="1">
      <w:start w:val="1"/>
      <w:numFmt w:val="bullet"/>
      <w:lvlText w:val="o"/>
      <w:lvlJc w:val="left"/>
      <w:pPr>
        <w:ind w:left="3600" w:hanging="360"/>
      </w:pPr>
      <w:rPr>
        <w:rFonts w:ascii="Courier New" w:hAnsi="Courier New" w:cs="Courier New" w:hint="default"/>
      </w:rPr>
    </w:lvl>
    <w:lvl w:ilvl="5" w:tplc="AD3455A8" w:tentative="1">
      <w:start w:val="1"/>
      <w:numFmt w:val="bullet"/>
      <w:lvlText w:val=""/>
      <w:lvlJc w:val="left"/>
      <w:pPr>
        <w:ind w:left="4320" w:hanging="360"/>
      </w:pPr>
      <w:rPr>
        <w:rFonts w:ascii="Wingdings" w:hAnsi="Wingdings" w:hint="default"/>
      </w:rPr>
    </w:lvl>
    <w:lvl w:ilvl="6" w:tplc="60424C90" w:tentative="1">
      <w:start w:val="1"/>
      <w:numFmt w:val="bullet"/>
      <w:lvlText w:val=""/>
      <w:lvlJc w:val="left"/>
      <w:pPr>
        <w:ind w:left="5040" w:hanging="360"/>
      </w:pPr>
      <w:rPr>
        <w:rFonts w:ascii="Symbol" w:hAnsi="Symbol" w:hint="default"/>
      </w:rPr>
    </w:lvl>
    <w:lvl w:ilvl="7" w:tplc="C07CE39A" w:tentative="1">
      <w:start w:val="1"/>
      <w:numFmt w:val="bullet"/>
      <w:lvlText w:val="o"/>
      <w:lvlJc w:val="left"/>
      <w:pPr>
        <w:ind w:left="5760" w:hanging="360"/>
      </w:pPr>
      <w:rPr>
        <w:rFonts w:ascii="Courier New" w:hAnsi="Courier New" w:cs="Courier New" w:hint="default"/>
      </w:rPr>
    </w:lvl>
    <w:lvl w:ilvl="8" w:tplc="2A601FFA" w:tentative="1">
      <w:start w:val="1"/>
      <w:numFmt w:val="bullet"/>
      <w:lvlText w:val=""/>
      <w:lvlJc w:val="left"/>
      <w:pPr>
        <w:ind w:left="6480" w:hanging="360"/>
      </w:pPr>
      <w:rPr>
        <w:rFonts w:ascii="Wingdings" w:hAnsi="Wingdings" w:hint="default"/>
      </w:rPr>
    </w:lvl>
  </w:abstractNum>
  <w:abstractNum w:abstractNumId="2" w15:restartNumberingAfterBreak="0">
    <w:nsid w:val="1DC95092"/>
    <w:multiLevelType w:val="hybridMultilevel"/>
    <w:tmpl w:val="8F4CFAF2"/>
    <w:lvl w:ilvl="0" w:tplc="06B81290">
      <w:start w:val="1"/>
      <w:numFmt w:val="bullet"/>
      <w:pStyle w:val="BulletList"/>
      <w:lvlText w:val=""/>
      <w:lvlJc w:val="left"/>
      <w:pPr>
        <w:ind w:left="720" w:hanging="360"/>
      </w:pPr>
      <w:rPr>
        <w:rFonts w:ascii="Symbol" w:hAnsi="Symbol" w:hint="default"/>
      </w:rPr>
    </w:lvl>
    <w:lvl w:ilvl="1" w:tplc="980EE312" w:tentative="1">
      <w:start w:val="1"/>
      <w:numFmt w:val="bullet"/>
      <w:lvlText w:val="o"/>
      <w:lvlJc w:val="left"/>
      <w:pPr>
        <w:ind w:left="1440" w:hanging="360"/>
      </w:pPr>
      <w:rPr>
        <w:rFonts w:ascii="Courier New" w:hAnsi="Courier New" w:cs="Courier New" w:hint="default"/>
      </w:rPr>
    </w:lvl>
    <w:lvl w:ilvl="2" w:tplc="AC9E9538" w:tentative="1">
      <w:start w:val="1"/>
      <w:numFmt w:val="bullet"/>
      <w:lvlText w:val=""/>
      <w:lvlJc w:val="left"/>
      <w:pPr>
        <w:ind w:left="2160" w:hanging="360"/>
      </w:pPr>
      <w:rPr>
        <w:rFonts w:ascii="Wingdings" w:hAnsi="Wingdings" w:hint="default"/>
      </w:rPr>
    </w:lvl>
    <w:lvl w:ilvl="3" w:tplc="0BCE5602" w:tentative="1">
      <w:start w:val="1"/>
      <w:numFmt w:val="bullet"/>
      <w:lvlText w:val=""/>
      <w:lvlJc w:val="left"/>
      <w:pPr>
        <w:ind w:left="2880" w:hanging="360"/>
      </w:pPr>
      <w:rPr>
        <w:rFonts w:ascii="Symbol" w:hAnsi="Symbol" w:hint="default"/>
      </w:rPr>
    </w:lvl>
    <w:lvl w:ilvl="4" w:tplc="1A1ABC82" w:tentative="1">
      <w:start w:val="1"/>
      <w:numFmt w:val="bullet"/>
      <w:lvlText w:val="o"/>
      <w:lvlJc w:val="left"/>
      <w:pPr>
        <w:ind w:left="3600" w:hanging="360"/>
      </w:pPr>
      <w:rPr>
        <w:rFonts w:ascii="Courier New" w:hAnsi="Courier New" w:cs="Courier New" w:hint="default"/>
      </w:rPr>
    </w:lvl>
    <w:lvl w:ilvl="5" w:tplc="48BCAD94" w:tentative="1">
      <w:start w:val="1"/>
      <w:numFmt w:val="bullet"/>
      <w:lvlText w:val=""/>
      <w:lvlJc w:val="left"/>
      <w:pPr>
        <w:ind w:left="4320" w:hanging="360"/>
      </w:pPr>
      <w:rPr>
        <w:rFonts w:ascii="Wingdings" w:hAnsi="Wingdings" w:hint="default"/>
      </w:rPr>
    </w:lvl>
    <w:lvl w:ilvl="6" w:tplc="BAA6EBA2" w:tentative="1">
      <w:start w:val="1"/>
      <w:numFmt w:val="bullet"/>
      <w:lvlText w:val=""/>
      <w:lvlJc w:val="left"/>
      <w:pPr>
        <w:ind w:left="5040" w:hanging="360"/>
      </w:pPr>
      <w:rPr>
        <w:rFonts w:ascii="Symbol" w:hAnsi="Symbol" w:hint="default"/>
      </w:rPr>
    </w:lvl>
    <w:lvl w:ilvl="7" w:tplc="4B429F98" w:tentative="1">
      <w:start w:val="1"/>
      <w:numFmt w:val="bullet"/>
      <w:lvlText w:val="o"/>
      <w:lvlJc w:val="left"/>
      <w:pPr>
        <w:ind w:left="5760" w:hanging="360"/>
      </w:pPr>
      <w:rPr>
        <w:rFonts w:ascii="Courier New" w:hAnsi="Courier New" w:cs="Courier New" w:hint="default"/>
      </w:rPr>
    </w:lvl>
    <w:lvl w:ilvl="8" w:tplc="2B7A600E" w:tentative="1">
      <w:start w:val="1"/>
      <w:numFmt w:val="bullet"/>
      <w:lvlText w:val=""/>
      <w:lvlJc w:val="left"/>
      <w:pPr>
        <w:ind w:left="6480" w:hanging="360"/>
      </w:pPr>
      <w:rPr>
        <w:rFonts w:ascii="Wingdings" w:hAnsi="Wingdings" w:hint="default"/>
      </w:rPr>
    </w:lvl>
  </w:abstractNum>
  <w:abstractNum w:abstractNumId="3" w15:restartNumberingAfterBreak="0">
    <w:nsid w:val="21D634D5"/>
    <w:multiLevelType w:val="hybridMultilevel"/>
    <w:tmpl w:val="27D69602"/>
    <w:lvl w:ilvl="0" w:tplc="33F81E72">
      <w:start w:val="1"/>
      <w:numFmt w:val="bullet"/>
      <w:lvlText w:val=""/>
      <w:lvlJc w:val="left"/>
      <w:pPr>
        <w:ind w:left="720" w:hanging="360"/>
      </w:pPr>
      <w:rPr>
        <w:rFonts w:ascii="Symbol" w:hAnsi="Symbol" w:hint="default"/>
      </w:rPr>
    </w:lvl>
    <w:lvl w:ilvl="1" w:tplc="4DB2015C" w:tentative="1">
      <w:start w:val="1"/>
      <w:numFmt w:val="bullet"/>
      <w:lvlText w:val="o"/>
      <w:lvlJc w:val="left"/>
      <w:pPr>
        <w:ind w:left="1440" w:hanging="360"/>
      </w:pPr>
      <w:rPr>
        <w:rFonts w:ascii="Courier New" w:hAnsi="Courier New" w:cs="Courier New" w:hint="default"/>
      </w:rPr>
    </w:lvl>
    <w:lvl w:ilvl="2" w:tplc="811ECF60" w:tentative="1">
      <w:start w:val="1"/>
      <w:numFmt w:val="bullet"/>
      <w:lvlText w:val=""/>
      <w:lvlJc w:val="left"/>
      <w:pPr>
        <w:ind w:left="2160" w:hanging="360"/>
      </w:pPr>
      <w:rPr>
        <w:rFonts w:ascii="Wingdings" w:hAnsi="Wingdings" w:hint="default"/>
      </w:rPr>
    </w:lvl>
    <w:lvl w:ilvl="3" w:tplc="55B094FE" w:tentative="1">
      <w:start w:val="1"/>
      <w:numFmt w:val="bullet"/>
      <w:lvlText w:val=""/>
      <w:lvlJc w:val="left"/>
      <w:pPr>
        <w:ind w:left="2880" w:hanging="360"/>
      </w:pPr>
      <w:rPr>
        <w:rFonts w:ascii="Symbol" w:hAnsi="Symbol" w:hint="default"/>
      </w:rPr>
    </w:lvl>
    <w:lvl w:ilvl="4" w:tplc="82C8A724" w:tentative="1">
      <w:start w:val="1"/>
      <w:numFmt w:val="bullet"/>
      <w:lvlText w:val="o"/>
      <w:lvlJc w:val="left"/>
      <w:pPr>
        <w:ind w:left="3600" w:hanging="360"/>
      </w:pPr>
      <w:rPr>
        <w:rFonts w:ascii="Courier New" w:hAnsi="Courier New" w:cs="Courier New" w:hint="default"/>
      </w:rPr>
    </w:lvl>
    <w:lvl w:ilvl="5" w:tplc="798E99C6" w:tentative="1">
      <w:start w:val="1"/>
      <w:numFmt w:val="bullet"/>
      <w:lvlText w:val=""/>
      <w:lvlJc w:val="left"/>
      <w:pPr>
        <w:ind w:left="4320" w:hanging="360"/>
      </w:pPr>
      <w:rPr>
        <w:rFonts w:ascii="Wingdings" w:hAnsi="Wingdings" w:hint="default"/>
      </w:rPr>
    </w:lvl>
    <w:lvl w:ilvl="6" w:tplc="B7582514" w:tentative="1">
      <w:start w:val="1"/>
      <w:numFmt w:val="bullet"/>
      <w:lvlText w:val=""/>
      <w:lvlJc w:val="left"/>
      <w:pPr>
        <w:ind w:left="5040" w:hanging="360"/>
      </w:pPr>
      <w:rPr>
        <w:rFonts w:ascii="Symbol" w:hAnsi="Symbol" w:hint="default"/>
      </w:rPr>
    </w:lvl>
    <w:lvl w:ilvl="7" w:tplc="DB4209A6" w:tentative="1">
      <w:start w:val="1"/>
      <w:numFmt w:val="bullet"/>
      <w:lvlText w:val="o"/>
      <w:lvlJc w:val="left"/>
      <w:pPr>
        <w:ind w:left="5760" w:hanging="360"/>
      </w:pPr>
      <w:rPr>
        <w:rFonts w:ascii="Courier New" w:hAnsi="Courier New" w:cs="Courier New" w:hint="default"/>
      </w:rPr>
    </w:lvl>
    <w:lvl w:ilvl="8" w:tplc="6AEAF7F6" w:tentative="1">
      <w:start w:val="1"/>
      <w:numFmt w:val="bullet"/>
      <w:lvlText w:val=""/>
      <w:lvlJc w:val="left"/>
      <w:pPr>
        <w:ind w:left="6480" w:hanging="360"/>
      </w:pPr>
      <w:rPr>
        <w:rFonts w:ascii="Wingdings" w:hAnsi="Wingdings" w:hint="default"/>
      </w:rPr>
    </w:lvl>
  </w:abstractNum>
  <w:abstractNum w:abstractNumId="4" w15:restartNumberingAfterBreak="0">
    <w:nsid w:val="22D325C5"/>
    <w:multiLevelType w:val="hybridMultilevel"/>
    <w:tmpl w:val="012433AA"/>
    <w:lvl w:ilvl="0" w:tplc="C318EE02">
      <w:start w:val="1"/>
      <w:numFmt w:val="decimal"/>
      <w:lvlText w:val="%1."/>
      <w:lvlJc w:val="left"/>
      <w:pPr>
        <w:ind w:left="720" w:hanging="360"/>
      </w:pPr>
      <w:rPr>
        <w:b w:val="0"/>
      </w:rPr>
    </w:lvl>
    <w:lvl w:ilvl="1" w:tplc="8592A1AE" w:tentative="1">
      <w:start w:val="1"/>
      <w:numFmt w:val="lowerLetter"/>
      <w:lvlText w:val="%2."/>
      <w:lvlJc w:val="left"/>
      <w:pPr>
        <w:ind w:left="1440" w:hanging="360"/>
      </w:pPr>
    </w:lvl>
    <w:lvl w:ilvl="2" w:tplc="F748329A" w:tentative="1">
      <w:start w:val="1"/>
      <w:numFmt w:val="lowerRoman"/>
      <w:lvlText w:val="%3."/>
      <w:lvlJc w:val="right"/>
      <w:pPr>
        <w:ind w:left="2160" w:hanging="180"/>
      </w:pPr>
    </w:lvl>
    <w:lvl w:ilvl="3" w:tplc="C1DEFC16" w:tentative="1">
      <w:start w:val="1"/>
      <w:numFmt w:val="decimal"/>
      <w:lvlText w:val="%4."/>
      <w:lvlJc w:val="left"/>
      <w:pPr>
        <w:ind w:left="2880" w:hanging="360"/>
      </w:pPr>
    </w:lvl>
    <w:lvl w:ilvl="4" w:tplc="A4F0187E" w:tentative="1">
      <w:start w:val="1"/>
      <w:numFmt w:val="lowerLetter"/>
      <w:lvlText w:val="%5."/>
      <w:lvlJc w:val="left"/>
      <w:pPr>
        <w:ind w:left="3600" w:hanging="360"/>
      </w:pPr>
    </w:lvl>
    <w:lvl w:ilvl="5" w:tplc="DA24329C" w:tentative="1">
      <w:start w:val="1"/>
      <w:numFmt w:val="lowerRoman"/>
      <w:lvlText w:val="%6."/>
      <w:lvlJc w:val="right"/>
      <w:pPr>
        <w:ind w:left="4320" w:hanging="180"/>
      </w:pPr>
    </w:lvl>
    <w:lvl w:ilvl="6" w:tplc="E6FE4040" w:tentative="1">
      <w:start w:val="1"/>
      <w:numFmt w:val="decimal"/>
      <w:lvlText w:val="%7."/>
      <w:lvlJc w:val="left"/>
      <w:pPr>
        <w:ind w:left="5040" w:hanging="360"/>
      </w:pPr>
    </w:lvl>
    <w:lvl w:ilvl="7" w:tplc="2982D48C" w:tentative="1">
      <w:start w:val="1"/>
      <w:numFmt w:val="lowerLetter"/>
      <w:lvlText w:val="%8."/>
      <w:lvlJc w:val="left"/>
      <w:pPr>
        <w:ind w:left="5760" w:hanging="360"/>
      </w:pPr>
    </w:lvl>
    <w:lvl w:ilvl="8" w:tplc="93047390" w:tentative="1">
      <w:start w:val="1"/>
      <w:numFmt w:val="lowerRoman"/>
      <w:lvlText w:val="%9."/>
      <w:lvlJc w:val="right"/>
      <w:pPr>
        <w:ind w:left="6480" w:hanging="180"/>
      </w:pPr>
    </w:lvl>
  </w:abstractNum>
  <w:abstractNum w:abstractNumId="5" w15:restartNumberingAfterBreak="0">
    <w:nsid w:val="2D0C5AEA"/>
    <w:multiLevelType w:val="hybridMultilevel"/>
    <w:tmpl w:val="A56810E2"/>
    <w:lvl w:ilvl="0" w:tplc="C8AE519A">
      <w:start w:val="1"/>
      <w:numFmt w:val="decimal"/>
      <w:pStyle w:val="NumberedList"/>
      <w:lvlText w:val="%1."/>
      <w:lvlJc w:val="left"/>
      <w:pPr>
        <w:ind w:left="810" w:hanging="360"/>
      </w:pPr>
      <w:rPr>
        <w:rFonts w:hint="default"/>
        <w:b/>
        <w:i w:val="0"/>
      </w:rPr>
    </w:lvl>
    <w:lvl w:ilvl="1" w:tplc="F51258E6" w:tentative="1">
      <w:start w:val="1"/>
      <w:numFmt w:val="lowerLetter"/>
      <w:lvlText w:val="%2."/>
      <w:lvlJc w:val="left"/>
      <w:pPr>
        <w:ind w:left="1530" w:hanging="360"/>
      </w:pPr>
    </w:lvl>
    <w:lvl w:ilvl="2" w:tplc="DA103A0C" w:tentative="1">
      <w:start w:val="1"/>
      <w:numFmt w:val="lowerRoman"/>
      <w:lvlText w:val="%3."/>
      <w:lvlJc w:val="right"/>
      <w:pPr>
        <w:ind w:left="2250" w:hanging="180"/>
      </w:pPr>
    </w:lvl>
    <w:lvl w:ilvl="3" w:tplc="70CEF78E" w:tentative="1">
      <w:start w:val="1"/>
      <w:numFmt w:val="decimal"/>
      <w:lvlText w:val="%4."/>
      <w:lvlJc w:val="left"/>
      <w:pPr>
        <w:ind w:left="2970" w:hanging="360"/>
      </w:pPr>
    </w:lvl>
    <w:lvl w:ilvl="4" w:tplc="BBD43BC0" w:tentative="1">
      <w:start w:val="1"/>
      <w:numFmt w:val="lowerLetter"/>
      <w:lvlText w:val="%5."/>
      <w:lvlJc w:val="left"/>
      <w:pPr>
        <w:ind w:left="3690" w:hanging="360"/>
      </w:pPr>
    </w:lvl>
    <w:lvl w:ilvl="5" w:tplc="8EDCF42C" w:tentative="1">
      <w:start w:val="1"/>
      <w:numFmt w:val="lowerRoman"/>
      <w:lvlText w:val="%6."/>
      <w:lvlJc w:val="right"/>
      <w:pPr>
        <w:ind w:left="4410" w:hanging="180"/>
      </w:pPr>
    </w:lvl>
    <w:lvl w:ilvl="6" w:tplc="FB92C962" w:tentative="1">
      <w:start w:val="1"/>
      <w:numFmt w:val="decimal"/>
      <w:lvlText w:val="%7."/>
      <w:lvlJc w:val="left"/>
      <w:pPr>
        <w:ind w:left="5130" w:hanging="360"/>
      </w:pPr>
    </w:lvl>
    <w:lvl w:ilvl="7" w:tplc="6EB0BDCE" w:tentative="1">
      <w:start w:val="1"/>
      <w:numFmt w:val="lowerLetter"/>
      <w:lvlText w:val="%8."/>
      <w:lvlJc w:val="left"/>
      <w:pPr>
        <w:ind w:left="5850" w:hanging="360"/>
      </w:pPr>
    </w:lvl>
    <w:lvl w:ilvl="8" w:tplc="0CD6C070" w:tentative="1">
      <w:start w:val="1"/>
      <w:numFmt w:val="lowerRoman"/>
      <w:lvlText w:val="%9."/>
      <w:lvlJc w:val="right"/>
      <w:pPr>
        <w:ind w:left="6570" w:hanging="180"/>
      </w:pPr>
    </w:lvl>
  </w:abstractNum>
  <w:abstractNum w:abstractNumId="6" w15:restartNumberingAfterBreak="0">
    <w:nsid w:val="3EC41826"/>
    <w:multiLevelType w:val="hybridMultilevel"/>
    <w:tmpl w:val="9050CA3E"/>
    <w:lvl w:ilvl="0" w:tplc="E9281FB0">
      <w:start w:val="3"/>
      <w:numFmt w:val="decimal"/>
      <w:lvlText w:val="%1."/>
      <w:lvlJc w:val="left"/>
      <w:pPr>
        <w:ind w:left="720" w:hanging="360"/>
      </w:pPr>
      <w:rPr>
        <w:rFonts w:hint="default"/>
        <w:b w:val="0"/>
      </w:rPr>
    </w:lvl>
    <w:lvl w:ilvl="1" w:tplc="1512B0F8" w:tentative="1">
      <w:start w:val="1"/>
      <w:numFmt w:val="lowerLetter"/>
      <w:lvlText w:val="%2."/>
      <w:lvlJc w:val="left"/>
      <w:pPr>
        <w:ind w:left="1440" w:hanging="360"/>
      </w:pPr>
    </w:lvl>
    <w:lvl w:ilvl="2" w:tplc="978C4360" w:tentative="1">
      <w:start w:val="1"/>
      <w:numFmt w:val="lowerRoman"/>
      <w:lvlText w:val="%3."/>
      <w:lvlJc w:val="right"/>
      <w:pPr>
        <w:ind w:left="2160" w:hanging="180"/>
      </w:pPr>
    </w:lvl>
    <w:lvl w:ilvl="3" w:tplc="0AE8CE08" w:tentative="1">
      <w:start w:val="1"/>
      <w:numFmt w:val="decimal"/>
      <w:lvlText w:val="%4."/>
      <w:lvlJc w:val="left"/>
      <w:pPr>
        <w:ind w:left="2880" w:hanging="360"/>
      </w:pPr>
    </w:lvl>
    <w:lvl w:ilvl="4" w:tplc="9E2432DA" w:tentative="1">
      <w:start w:val="1"/>
      <w:numFmt w:val="lowerLetter"/>
      <w:lvlText w:val="%5."/>
      <w:lvlJc w:val="left"/>
      <w:pPr>
        <w:ind w:left="3600" w:hanging="360"/>
      </w:pPr>
    </w:lvl>
    <w:lvl w:ilvl="5" w:tplc="5BE24D26" w:tentative="1">
      <w:start w:val="1"/>
      <w:numFmt w:val="lowerRoman"/>
      <w:lvlText w:val="%6."/>
      <w:lvlJc w:val="right"/>
      <w:pPr>
        <w:ind w:left="4320" w:hanging="180"/>
      </w:pPr>
    </w:lvl>
    <w:lvl w:ilvl="6" w:tplc="1C8EE54C" w:tentative="1">
      <w:start w:val="1"/>
      <w:numFmt w:val="decimal"/>
      <w:lvlText w:val="%7."/>
      <w:lvlJc w:val="left"/>
      <w:pPr>
        <w:ind w:left="5040" w:hanging="360"/>
      </w:pPr>
    </w:lvl>
    <w:lvl w:ilvl="7" w:tplc="549C7DD8" w:tentative="1">
      <w:start w:val="1"/>
      <w:numFmt w:val="lowerLetter"/>
      <w:lvlText w:val="%8."/>
      <w:lvlJc w:val="left"/>
      <w:pPr>
        <w:ind w:left="5760" w:hanging="360"/>
      </w:pPr>
    </w:lvl>
    <w:lvl w:ilvl="8" w:tplc="51467778" w:tentative="1">
      <w:start w:val="1"/>
      <w:numFmt w:val="lowerRoman"/>
      <w:lvlText w:val="%9."/>
      <w:lvlJc w:val="right"/>
      <w:pPr>
        <w:ind w:left="6480" w:hanging="180"/>
      </w:pPr>
    </w:lvl>
  </w:abstractNum>
  <w:abstractNum w:abstractNumId="7" w15:restartNumberingAfterBreak="0">
    <w:nsid w:val="59E20EE8"/>
    <w:multiLevelType w:val="hybridMultilevel"/>
    <w:tmpl w:val="66F43E7A"/>
    <w:lvl w:ilvl="0" w:tplc="8084EF76">
      <w:start w:val="1"/>
      <w:numFmt w:val="bullet"/>
      <w:lvlText w:val=""/>
      <w:lvlJc w:val="left"/>
      <w:pPr>
        <w:ind w:left="720" w:hanging="360"/>
      </w:pPr>
      <w:rPr>
        <w:rFonts w:ascii="Symbol" w:hAnsi="Symbol" w:hint="default"/>
      </w:rPr>
    </w:lvl>
    <w:lvl w:ilvl="1" w:tplc="36A0DEC4" w:tentative="1">
      <w:start w:val="1"/>
      <w:numFmt w:val="bullet"/>
      <w:lvlText w:val="o"/>
      <w:lvlJc w:val="left"/>
      <w:pPr>
        <w:ind w:left="1440" w:hanging="360"/>
      </w:pPr>
      <w:rPr>
        <w:rFonts w:ascii="Courier New" w:hAnsi="Courier New" w:cs="Courier New" w:hint="default"/>
      </w:rPr>
    </w:lvl>
    <w:lvl w:ilvl="2" w:tplc="8A56A6F6" w:tentative="1">
      <w:start w:val="1"/>
      <w:numFmt w:val="bullet"/>
      <w:lvlText w:val=""/>
      <w:lvlJc w:val="left"/>
      <w:pPr>
        <w:ind w:left="2160" w:hanging="360"/>
      </w:pPr>
      <w:rPr>
        <w:rFonts w:ascii="Wingdings" w:hAnsi="Wingdings" w:hint="default"/>
      </w:rPr>
    </w:lvl>
    <w:lvl w:ilvl="3" w:tplc="B99ACF30" w:tentative="1">
      <w:start w:val="1"/>
      <w:numFmt w:val="bullet"/>
      <w:lvlText w:val=""/>
      <w:lvlJc w:val="left"/>
      <w:pPr>
        <w:ind w:left="2880" w:hanging="360"/>
      </w:pPr>
      <w:rPr>
        <w:rFonts w:ascii="Symbol" w:hAnsi="Symbol" w:hint="default"/>
      </w:rPr>
    </w:lvl>
    <w:lvl w:ilvl="4" w:tplc="0C38204C" w:tentative="1">
      <w:start w:val="1"/>
      <w:numFmt w:val="bullet"/>
      <w:lvlText w:val="o"/>
      <w:lvlJc w:val="left"/>
      <w:pPr>
        <w:ind w:left="3600" w:hanging="360"/>
      </w:pPr>
      <w:rPr>
        <w:rFonts w:ascii="Courier New" w:hAnsi="Courier New" w:cs="Courier New" w:hint="default"/>
      </w:rPr>
    </w:lvl>
    <w:lvl w:ilvl="5" w:tplc="8D36D960" w:tentative="1">
      <w:start w:val="1"/>
      <w:numFmt w:val="bullet"/>
      <w:lvlText w:val=""/>
      <w:lvlJc w:val="left"/>
      <w:pPr>
        <w:ind w:left="4320" w:hanging="360"/>
      </w:pPr>
      <w:rPr>
        <w:rFonts w:ascii="Wingdings" w:hAnsi="Wingdings" w:hint="default"/>
      </w:rPr>
    </w:lvl>
    <w:lvl w:ilvl="6" w:tplc="DC7AD1B8" w:tentative="1">
      <w:start w:val="1"/>
      <w:numFmt w:val="bullet"/>
      <w:lvlText w:val=""/>
      <w:lvlJc w:val="left"/>
      <w:pPr>
        <w:ind w:left="5040" w:hanging="360"/>
      </w:pPr>
      <w:rPr>
        <w:rFonts w:ascii="Symbol" w:hAnsi="Symbol" w:hint="default"/>
      </w:rPr>
    </w:lvl>
    <w:lvl w:ilvl="7" w:tplc="37505BA4" w:tentative="1">
      <w:start w:val="1"/>
      <w:numFmt w:val="bullet"/>
      <w:lvlText w:val="o"/>
      <w:lvlJc w:val="left"/>
      <w:pPr>
        <w:ind w:left="5760" w:hanging="360"/>
      </w:pPr>
      <w:rPr>
        <w:rFonts w:ascii="Courier New" w:hAnsi="Courier New" w:cs="Courier New" w:hint="default"/>
      </w:rPr>
    </w:lvl>
    <w:lvl w:ilvl="8" w:tplc="3EF80644" w:tentative="1">
      <w:start w:val="1"/>
      <w:numFmt w:val="bullet"/>
      <w:lvlText w:val=""/>
      <w:lvlJc w:val="left"/>
      <w:pPr>
        <w:ind w:left="6480" w:hanging="360"/>
      </w:pPr>
      <w:rPr>
        <w:rFonts w:ascii="Wingdings" w:hAnsi="Wingdings" w:hint="default"/>
      </w:rPr>
    </w:lvl>
  </w:abstractNum>
  <w:abstractNum w:abstractNumId="8" w15:restartNumberingAfterBreak="0">
    <w:nsid w:val="62CF7BF7"/>
    <w:multiLevelType w:val="hybridMultilevel"/>
    <w:tmpl w:val="3062703C"/>
    <w:lvl w:ilvl="0" w:tplc="15CA34F6">
      <w:start w:val="1"/>
      <w:numFmt w:val="bullet"/>
      <w:lvlText w:val=""/>
      <w:lvlJc w:val="left"/>
      <w:pPr>
        <w:ind w:left="720" w:hanging="360"/>
      </w:pPr>
      <w:rPr>
        <w:rFonts w:ascii="Symbol" w:hAnsi="Symbol" w:hint="default"/>
      </w:rPr>
    </w:lvl>
    <w:lvl w:ilvl="1" w:tplc="516CFC36" w:tentative="1">
      <w:start w:val="1"/>
      <w:numFmt w:val="bullet"/>
      <w:lvlText w:val="o"/>
      <w:lvlJc w:val="left"/>
      <w:pPr>
        <w:ind w:left="1440" w:hanging="360"/>
      </w:pPr>
      <w:rPr>
        <w:rFonts w:ascii="Courier New" w:hAnsi="Courier New" w:cs="Courier New" w:hint="default"/>
      </w:rPr>
    </w:lvl>
    <w:lvl w:ilvl="2" w:tplc="5B0AF434" w:tentative="1">
      <w:start w:val="1"/>
      <w:numFmt w:val="bullet"/>
      <w:lvlText w:val=""/>
      <w:lvlJc w:val="left"/>
      <w:pPr>
        <w:ind w:left="2160" w:hanging="360"/>
      </w:pPr>
      <w:rPr>
        <w:rFonts w:ascii="Wingdings" w:hAnsi="Wingdings" w:hint="default"/>
      </w:rPr>
    </w:lvl>
    <w:lvl w:ilvl="3" w:tplc="F3327E24" w:tentative="1">
      <w:start w:val="1"/>
      <w:numFmt w:val="bullet"/>
      <w:lvlText w:val=""/>
      <w:lvlJc w:val="left"/>
      <w:pPr>
        <w:ind w:left="2880" w:hanging="360"/>
      </w:pPr>
      <w:rPr>
        <w:rFonts w:ascii="Symbol" w:hAnsi="Symbol" w:hint="default"/>
      </w:rPr>
    </w:lvl>
    <w:lvl w:ilvl="4" w:tplc="B41E8264" w:tentative="1">
      <w:start w:val="1"/>
      <w:numFmt w:val="bullet"/>
      <w:lvlText w:val="o"/>
      <w:lvlJc w:val="left"/>
      <w:pPr>
        <w:ind w:left="3600" w:hanging="360"/>
      </w:pPr>
      <w:rPr>
        <w:rFonts w:ascii="Courier New" w:hAnsi="Courier New" w:cs="Courier New" w:hint="default"/>
      </w:rPr>
    </w:lvl>
    <w:lvl w:ilvl="5" w:tplc="BEF202CC" w:tentative="1">
      <w:start w:val="1"/>
      <w:numFmt w:val="bullet"/>
      <w:lvlText w:val=""/>
      <w:lvlJc w:val="left"/>
      <w:pPr>
        <w:ind w:left="4320" w:hanging="360"/>
      </w:pPr>
      <w:rPr>
        <w:rFonts w:ascii="Wingdings" w:hAnsi="Wingdings" w:hint="default"/>
      </w:rPr>
    </w:lvl>
    <w:lvl w:ilvl="6" w:tplc="A55E8CAC" w:tentative="1">
      <w:start w:val="1"/>
      <w:numFmt w:val="bullet"/>
      <w:lvlText w:val=""/>
      <w:lvlJc w:val="left"/>
      <w:pPr>
        <w:ind w:left="5040" w:hanging="360"/>
      </w:pPr>
      <w:rPr>
        <w:rFonts w:ascii="Symbol" w:hAnsi="Symbol" w:hint="default"/>
      </w:rPr>
    </w:lvl>
    <w:lvl w:ilvl="7" w:tplc="3FF05C2E" w:tentative="1">
      <w:start w:val="1"/>
      <w:numFmt w:val="bullet"/>
      <w:lvlText w:val="o"/>
      <w:lvlJc w:val="left"/>
      <w:pPr>
        <w:ind w:left="5760" w:hanging="360"/>
      </w:pPr>
      <w:rPr>
        <w:rFonts w:ascii="Courier New" w:hAnsi="Courier New" w:cs="Courier New" w:hint="default"/>
      </w:rPr>
    </w:lvl>
    <w:lvl w:ilvl="8" w:tplc="C7243A5A" w:tentative="1">
      <w:start w:val="1"/>
      <w:numFmt w:val="bullet"/>
      <w:lvlText w:val=""/>
      <w:lvlJc w:val="left"/>
      <w:pPr>
        <w:ind w:left="6480" w:hanging="360"/>
      </w:pPr>
      <w:rPr>
        <w:rFonts w:ascii="Wingdings" w:hAnsi="Wingdings" w:hint="default"/>
      </w:rPr>
    </w:lvl>
  </w:abstractNum>
  <w:abstractNum w:abstractNumId="9" w15:restartNumberingAfterBreak="0">
    <w:nsid w:val="695D6A28"/>
    <w:multiLevelType w:val="hybridMultilevel"/>
    <w:tmpl w:val="F22E57F0"/>
    <w:lvl w:ilvl="0" w:tplc="E414965E">
      <w:start w:val="1"/>
      <w:numFmt w:val="bullet"/>
      <w:pStyle w:val="BulletedList"/>
      <w:lvlText w:val=""/>
      <w:lvlJc w:val="left"/>
      <w:pPr>
        <w:ind w:left="720" w:hanging="360"/>
      </w:pPr>
      <w:rPr>
        <w:rFonts w:ascii="Wingdings" w:hAnsi="Wingdings" w:hint="default"/>
      </w:rPr>
    </w:lvl>
    <w:lvl w:ilvl="1" w:tplc="0A385256" w:tentative="1">
      <w:start w:val="1"/>
      <w:numFmt w:val="bullet"/>
      <w:lvlText w:val="o"/>
      <w:lvlJc w:val="left"/>
      <w:pPr>
        <w:ind w:left="1440" w:hanging="360"/>
      </w:pPr>
      <w:rPr>
        <w:rFonts w:ascii="Courier New" w:hAnsi="Courier New" w:cs="Courier New" w:hint="default"/>
      </w:rPr>
    </w:lvl>
    <w:lvl w:ilvl="2" w:tplc="16CC06C4" w:tentative="1">
      <w:start w:val="1"/>
      <w:numFmt w:val="bullet"/>
      <w:lvlText w:val=""/>
      <w:lvlJc w:val="left"/>
      <w:pPr>
        <w:ind w:left="2160" w:hanging="360"/>
      </w:pPr>
      <w:rPr>
        <w:rFonts w:ascii="Wingdings" w:hAnsi="Wingdings" w:hint="default"/>
      </w:rPr>
    </w:lvl>
    <w:lvl w:ilvl="3" w:tplc="EA1494AC" w:tentative="1">
      <w:start w:val="1"/>
      <w:numFmt w:val="bullet"/>
      <w:lvlText w:val=""/>
      <w:lvlJc w:val="left"/>
      <w:pPr>
        <w:ind w:left="2880" w:hanging="360"/>
      </w:pPr>
      <w:rPr>
        <w:rFonts w:ascii="Symbol" w:hAnsi="Symbol" w:hint="default"/>
      </w:rPr>
    </w:lvl>
    <w:lvl w:ilvl="4" w:tplc="0590CB54" w:tentative="1">
      <w:start w:val="1"/>
      <w:numFmt w:val="bullet"/>
      <w:lvlText w:val="o"/>
      <w:lvlJc w:val="left"/>
      <w:pPr>
        <w:ind w:left="3600" w:hanging="360"/>
      </w:pPr>
      <w:rPr>
        <w:rFonts w:ascii="Courier New" w:hAnsi="Courier New" w:cs="Courier New" w:hint="default"/>
      </w:rPr>
    </w:lvl>
    <w:lvl w:ilvl="5" w:tplc="0FBE5A9C" w:tentative="1">
      <w:start w:val="1"/>
      <w:numFmt w:val="bullet"/>
      <w:lvlText w:val=""/>
      <w:lvlJc w:val="left"/>
      <w:pPr>
        <w:ind w:left="4320" w:hanging="360"/>
      </w:pPr>
      <w:rPr>
        <w:rFonts w:ascii="Wingdings" w:hAnsi="Wingdings" w:hint="default"/>
      </w:rPr>
    </w:lvl>
    <w:lvl w:ilvl="6" w:tplc="A0F081B6" w:tentative="1">
      <w:start w:val="1"/>
      <w:numFmt w:val="bullet"/>
      <w:lvlText w:val=""/>
      <w:lvlJc w:val="left"/>
      <w:pPr>
        <w:ind w:left="5040" w:hanging="360"/>
      </w:pPr>
      <w:rPr>
        <w:rFonts w:ascii="Symbol" w:hAnsi="Symbol" w:hint="default"/>
      </w:rPr>
    </w:lvl>
    <w:lvl w:ilvl="7" w:tplc="B562E8C0" w:tentative="1">
      <w:start w:val="1"/>
      <w:numFmt w:val="bullet"/>
      <w:lvlText w:val="o"/>
      <w:lvlJc w:val="left"/>
      <w:pPr>
        <w:ind w:left="5760" w:hanging="360"/>
      </w:pPr>
      <w:rPr>
        <w:rFonts w:ascii="Courier New" w:hAnsi="Courier New" w:cs="Courier New" w:hint="default"/>
      </w:rPr>
    </w:lvl>
    <w:lvl w:ilvl="8" w:tplc="8B9A10BA"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
  </w:num>
  <w:num w:numId="4">
    <w:abstractNumId w:val="0"/>
  </w:num>
  <w:num w:numId="5">
    <w:abstractNumId w:val="8"/>
  </w:num>
  <w:num w:numId="6">
    <w:abstractNumId w:val="2"/>
  </w:num>
  <w:num w:numId="7">
    <w:abstractNumId w:val="4"/>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0tjQyNzUyNrIwNzNS0lEKTi0uzszPAykwrwUAWjsWBywAAAA="/>
  </w:docVars>
  <w:rsids>
    <w:rsidRoot w:val="00C13860"/>
    <w:rsid w:val="000656D2"/>
    <w:rsid w:val="0008042F"/>
    <w:rsid w:val="00096676"/>
    <w:rsid w:val="000A1A7C"/>
    <w:rsid w:val="000A22E5"/>
    <w:rsid w:val="000C7DE9"/>
    <w:rsid w:val="000F08E0"/>
    <w:rsid w:val="001213A0"/>
    <w:rsid w:val="00123836"/>
    <w:rsid w:val="0013564A"/>
    <w:rsid w:val="00136A03"/>
    <w:rsid w:val="00150A08"/>
    <w:rsid w:val="00185FD8"/>
    <w:rsid w:val="001932BA"/>
    <w:rsid w:val="001A6F73"/>
    <w:rsid w:val="001D5A30"/>
    <w:rsid w:val="001F619A"/>
    <w:rsid w:val="0020115E"/>
    <w:rsid w:val="00202F1B"/>
    <w:rsid w:val="0023200C"/>
    <w:rsid w:val="002A7C8B"/>
    <w:rsid w:val="002B67A3"/>
    <w:rsid w:val="002B6B23"/>
    <w:rsid w:val="002F38B6"/>
    <w:rsid w:val="00317064"/>
    <w:rsid w:val="003E2CDC"/>
    <w:rsid w:val="004178A1"/>
    <w:rsid w:val="004431DE"/>
    <w:rsid w:val="00450F07"/>
    <w:rsid w:val="0045285D"/>
    <w:rsid w:val="00466934"/>
    <w:rsid w:val="00474982"/>
    <w:rsid w:val="004B0128"/>
    <w:rsid w:val="004C2C14"/>
    <w:rsid w:val="004F41C3"/>
    <w:rsid w:val="0051484C"/>
    <w:rsid w:val="005259E6"/>
    <w:rsid w:val="0053575D"/>
    <w:rsid w:val="005455C0"/>
    <w:rsid w:val="005617BE"/>
    <w:rsid w:val="00587E00"/>
    <w:rsid w:val="005D59F3"/>
    <w:rsid w:val="00607E4B"/>
    <w:rsid w:val="00624F40"/>
    <w:rsid w:val="00680B77"/>
    <w:rsid w:val="006A7BA6"/>
    <w:rsid w:val="006B7630"/>
    <w:rsid w:val="00704495"/>
    <w:rsid w:val="00736302"/>
    <w:rsid w:val="00792C11"/>
    <w:rsid w:val="00792F89"/>
    <w:rsid w:val="008265F1"/>
    <w:rsid w:val="00841C46"/>
    <w:rsid w:val="0084422A"/>
    <w:rsid w:val="00892E0B"/>
    <w:rsid w:val="008A0B9A"/>
    <w:rsid w:val="008A674C"/>
    <w:rsid w:val="008A740E"/>
    <w:rsid w:val="008B0BCC"/>
    <w:rsid w:val="008B636A"/>
    <w:rsid w:val="008D0E14"/>
    <w:rsid w:val="008F5DE8"/>
    <w:rsid w:val="009054EF"/>
    <w:rsid w:val="00954CD0"/>
    <w:rsid w:val="0096300C"/>
    <w:rsid w:val="00970778"/>
    <w:rsid w:val="00974F0E"/>
    <w:rsid w:val="00986B93"/>
    <w:rsid w:val="00987F68"/>
    <w:rsid w:val="009977B0"/>
    <w:rsid w:val="009C336C"/>
    <w:rsid w:val="00A02321"/>
    <w:rsid w:val="00A1062C"/>
    <w:rsid w:val="00A16E52"/>
    <w:rsid w:val="00A30C21"/>
    <w:rsid w:val="00A57169"/>
    <w:rsid w:val="00A6796C"/>
    <w:rsid w:val="00AD027A"/>
    <w:rsid w:val="00B129E0"/>
    <w:rsid w:val="00B2035A"/>
    <w:rsid w:val="00B27928"/>
    <w:rsid w:val="00B36F37"/>
    <w:rsid w:val="00B85464"/>
    <w:rsid w:val="00B93688"/>
    <w:rsid w:val="00BB13CC"/>
    <w:rsid w:val="00BB5DB5"/>
    <w:rsid w:val="00BB61EC"/>
    <w:rsid w:val="00BC1289"/>
    <w:rsid w:val="00C028FB"/>
    <w:rsid w:val="00C13860"/>
    <w:rsid w:val="00C36D47"/>
    <w:rsid w:val="00C92443"/>
    <w:rsid w:val="00CA7A2E"/>
    <w:rsid w:val="00CB25AA"/>
    <w:rsid w:val="00CD723D"/>
    <w:rsid w:val="00CE00B1"/>
    <w:rsid w:val="00CF63D8"/>
    <w:rsid w:val="00CF71A3"/>
    <w:rsid w:val="00D001DF"/>
    <w:rsid w:val="00D15440"/>
    <w:rsid w:val="00D47248"/>
    <w:rsid w:val="00D47D52"/>
    <w:rsid w:val="00D56A8B"/>
    <w:rsid w:val="00DC001D"/>
    <w:rsid w:val="00DC2EC9"/>
    <w:rsid w:val="00E06099"/>
    <w:rsid w:val="00E17698"/>
    <w:rsid w:val="00E17D84"/>
    <w:rsid w:val="00E63837"/>
    <w:rsid w:val="00EB56D6"/>
    <w:rsid w:val="00ED6866"/>
    <w:rsid w:val="00F279EA"/>
    <w:rsid w:val="00F505DA"/>
    <w:rsid w:val="00F90E5E"/>
    <w:rsid w:val="00FC03EE"/>
    <w:rsid w:val="00FE5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E93FBE-19AB-4A5D-A4B8-2B667779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ABD"/>
  </w:style>
  <w:style w:type="paragraph" w:styleId="Footer">
    <w:name w:val="footer"/>
    <w:basedOn w:val="Normal"/>
    <w:link w:val="FooterChar"/>
    <w:uiPriority w:val="99"/>
    <w:unhideWhenUsed/>
    <w:rsid w:val="00FE5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ABD"/>
  </w:style>
  <w:style w:type="paragraph" w:customStyle="1" w:styleId="ArticleHeader">
    <w:name w:val="Article Header"/>
    <w:basedOn w:val="Normal"/>
    <w:link w:val="ArticleHeaderChar"/>
    <w:rsid w:val="000A1A7C"/>
    <w:pPr>
      <w:spacing w:after="0" w:line="240" w:lineRule="auto"/>
    </w:pPr>
    <w:rPr>
      <w:rFonts w:ascii="Arial" w:hAnsi="Arial" w:cs="Arial"/>
      <w:b/>
      <w:sz w:val="32"/>
      <w:szCs w:val="32"/>
    </w:rPr>
  </w:style>
  <w:style w:type="paragraph" w:customStyle="1" w:styleId="Subheader">
    <w:name w:val="Subheader"/>
    <w:basedOn w:val="Normal"/>
    <w:link w:val="SubheaderChar"/>
    <w:rsid w:val="000A1A7C"/>
    <w:pPr>
      <w:spacing w:after="0" w:line="240" w:lineRule="auto"/>
    </w:pPr>
    <w:rPr>
      <w:rFonts w:ascii="Arial" w:hAnsi="Arial" w:cs="Arial"/>
      <w:b/>
      <w:sz w:val="26"/>
      <w:szCs w:val="26"/>
    </w:rPr>
  </w:style>
  <w:style w:type="character" w:customStyle="1" w:styleId="ArticleHeaderChar">
    <w:name w:val="Article Header Char"/>
    <w:basedOn w:val="DefaultParagraphFont"/>
    <w:link w:val="ArticleHeader"/>
    <w:rsid w:val="000A1A7C"/>
    <w:rPr>
      <w:rFonts w:ascii="Arial" w:hAnsi="Arial" w:cs="Arial"/>
      <w:b/>
      <w:sz w:val="32"/>
      <w:szCs w:val="32"/>
    </w:rPr>
  </w:style>
  <w:style w:type="paragraph" w:customStyle="1" w:styleId="BulletedList">
    <w:name w:val="Bulleted List"/>
    <w:basedOn w:val="Normal"/>
    <w:link w:val="BulletedListChar"/>
    <w:qFormat/>
    <w:rsid w:val="000A1A7C"/>
    <w:pPr>
      <w:numPr>
        <w:numId w:val="1"/>
      </w:numPr>
      <w:spacing w:after="0" w:line="240" w:lineRule="auto"/>
    </w:pPr>
    <w:rPr>
      <w:rFonts w:ascii="Arial" w:hAnsi="Arial" w:cs="Arial"/>
    </w:rPr>
  </w:style>
  <w:style w:type="character" w:customStyle="1" w:styleId="SubheaderChar">
    <w:name w:val="Subheader Char"/>
    <w:basedOn w:val="DefaultParagraphFont"/>
    <w:link w:val="Subheader"/>
    <w:rsid w:val="000A1A7C"/>
    <w:rPr>
      <w:rFonts w:ascii="Arial" w:hAnsi="Arial" w:cs="Arial"/>
      <w:b/>
      <w:sz w:val="26"/>
      <w:szCs w:val="26"/>
    </w:rPr>
  </w:style>
  <w:style w:type="paragraph" w:customStyle="1" w:styleId="NumberedList">
    <w:name w:val="Numbered List"/>
    <w:basedOn w:val="BulletedList"/>
    <w:link w:val="NumberedListChar"/>
    <w:rsid w:val="00841C46"/>
    <w:pPr>
      <w:numPr>
        <w:numId w:val="2"/>
      </w:numPr>
      <w:ind w:left="270" w:hanging="270"/>
    </w:pPr>
  </w:style>
  <w:style w:type="character" w:customStyle="1" w:styleId="BulletedListChar">
    <w:name w:val="Bulleted List Char"/>
    <w:basedOn w:val="DefaultParagraphFont"/>
    <w:link w:val="BulletedList"/>
    <w:rsid w:val="000A1A7C"/>
    <w:rPr>
      <w:rFonts w:ascii="Arial" w:hAnsi="Arial" w:cs="Arial"/>
    </w:rPr>
  </w:style>
  <w:style w:type="character" w:customStyle="1" w:styleId="NumberedListChar">
    <w:name w:val="Numbered List Char"/>
    <w:basedOn w:val="BulletedListChar"/>
    <w:link w:val="NumberedList"/>
    <w:rsid w:val="00841C46"/>
    <w:rPr>
      <w:rFonts w:ascii="Arial" w:hAnsi="Arial" w:cs="Arial"/>
    </w:rPr>
  </w:style>
  <w:style w:type="character" w:styleId="Hyperlink">
    <w:name w:val="Hyperlink"/>
    <w:basedOn w:val="DefaultParagraphFont"/>
    <w:uiPriority w:val="99"/>
    <w:unhideWhenUsed/>
    <w:rsid w:val="002B67A3"/>
    <w:rPr>
      <w:color w:val="0563C1" w:themeColor="hyperlink"/>
      <w:u w:val="single"/>
    </w:rPr>
  </w:style>
  <w:style w:type="paragraph" w:styleId="ListParagraph">
    <w:name w:val="List Paragraph"/>
    <w:basedOn w:val="Normal"/>
    <w:uiPriority w:val="34"/>
    <w:rsid w:val="002B67A3"/>
    <w:pPr>
      <w:spacing w:line="240" w:lineRule="auto"/>
      <w:ind w:left="720"/>
      <w:contextualSpacing/>
    </w:pPr>
    <w:rPr>
      <w:rFonts w:ascii="Arial" w:hAnsi="Arial" w:cs="Arial"/>
      <w:sz w:val="20"/>
    </w:rPr>
  </w:style>
  <w:style w:type="paragraph" w:customStyle="1" w:styleId="1Header">
    <w:name w:val="1 Header"/>
    <w:basedOn w:val="ArticleHeader"/>
    <w:link w:val="1HeaderChar"/>
    <w:qFormat/>
    <w:rsid w:val="001932BA"/>
    <w:pPr>
      <w:spacing w:after="80" w:line="192" w:lineRule="auto"/>
    </w:pPr>
    <w:rPr>
      <w:rFonts w:asciiTheme="minorHAnsi" w:hAnsiTheme="minorHAnsi" w:cstheme="minorHAnsi"/>
      <w:sz w:val="36"/>
    </w:rPr>
  </w:style>
  <w:style w:type="paragraph" w:customStyle="1" w:styleId="Body">
    <w:name w:val="Body"/>
    <w:basedOn w:val="Normal"/>
    <w:link w:val="BodyChar"/>
    <w:qFormat/>
    <w:rsid w:val="005617BE"/>
    <w:pPr>
      <w:spacing w:line="252" w:lineRule="auto"/>
    </w:pPr>
    <w:rPr>
      <w:rFonts w:cstheme="minorHAnsi"/>
    </w:rPr>
  </w:style>
  <w:style w:type="character" w:customStyle="1" w:styleId="1HeaderChar">
    <w:name w:val="1 Header Char"/>
    <w:basedOn w:val="ArticleHeaderChar"/>
    <w:link w:val="1Header"/>
    <w:rsid w:val="001932BA"/>
    <w:rPr>
      <w:rFonts w:ascii="Arial" w:hAnsi="Arial" w:cstheme="minorHAnsi"/>
      <w:b/>
      <w:sz w:val="36"/>
      <w:szCs w:val="32"/>
    </w:rPr>
  </w:style>
  <w:style w:type="paragraph" w:customStyle="1" w:styleId="BulletList">
    <w:name w:val="Bullet List"/>
    <w:basedOn w:val="Body"/>
    <w:link w:val="BulletListChar"/>
    <w:qFormat/>
    <w:rsid w:val="00185FD8"/>
    <w:pPr>
      <w:numPr>
        <w:numId w:val="6"/>
      </w:numPr>
      <w:spacing w:after="60"/>
      <w:ind w:left="273" w:hanging="187"/>
    </w:pPr>
  </w:style>
  <w:style w:type="character" w:customStyle="1" w:styleId="BodyChar">
    <w:name w:val="Body Char"/>
    <w:basedOn w:val="DefaultParagraphFont"/>
    <w:link w:val="Body"/>
    <w:rsid w:val="005617BE"/>
    <w:rPr>
      <w:rFonts w:cstheme="minorHAnsi"/>
    </w:rPr>
  </w:style>
  <w:style w:type="character" w:customStyle="1" w:styleId="BulletListChar">
    <w:name w:val="Bullet List Char"/>
    <w:basedOn w:val="BodyChar"/>
    <w:link w:val="BulletList"/>
    <w:rsid w:val="00185FD8"/>
    <w:rPr>
      <w:rFonts w:cstheme="minorHAnsi"/>
    </w:rPr>
  </w:style>
  <w:style w:type="paragraph" w:customStyle="1" w:styleId="2Header">
    <w:name w:val="2 Header"/>
    <w:basedOn w:val="Normal"/>
    <w:link w:val="2HeaderChar"/>
    <w:qFormat/>
    <w:rsid w:val="00A57169"/>
    <w:pPr>
      <w:spacing w:after="0"/>
    </w:pPr>
    <w:rPr>
      <w:rFonts w:cstheme="minorHAnsi"/>
      <w:b/>
    </w:rPr>
  </w:style>
  <w:style w:type="character" w:customStyle="1" w:styleId="2HeaderChar">
    <w:name w:val="2 Header Char"/>
    <w:basedOn w:val="DefaultParagraphFont"/>
    <w:link w:val="2Header"/>
    <w:rsid w:val="00A57169"/>
    <w:rPr>
      <w:rFonts w:cstheme="minorHAnsi"/>
      <w:b/>
    </w:rPr>
  </w:style>
  <w:style w:type="character" w:customStyle="1" w:styleId="UnresolvedMention1">
    <w:name w:val="Unresolved Mention1"/>
    <w:basedOn w:val="DefaultParagraphFont"/>
    <w:uiPriority w:val="99"/>
    <w:semiHidden/>
    <w:unhideWhenUsed/>
    <w:rsid w:val="00C13860"/>
    <w:rPr>
      <w:color w:val="605E5C"/>
      <w:shd w:val="clear" w:color="auto" w:fill="E1DFDD"/>
    </w:rPr>
  </w:style>
  <w:style w:type="character" w:styleId="FollowedHyperlink">
    <w:name w:val="FollowedHyperlink"/>
    <w:basedOn w:val="DefaultParagraphFont"/>
    <w:uiPriority w:val="99"/>
    <w:semiHidden/>
    <w:unhideWhenUsed/>
    <w:rsid w:val="001D5A30"/>
    <w:rPr>
      <w:color w:val="954F72" w:themeColor="followedHyperlink"/>
      <w:u w:val="single"/>
    </w:rPr>
  </w:style>
  <w:style w:type="character" w:styleId="CommentReference">
    <w:name w:val="annotation reference"/>
    <w:basedOn w:val="DefaultParagraphFont"/>
    <w:uiPriority w:val="99"/>
    <w:semiHidden/>
    <w:unhideWhenUsed/>
    <w:rsid w:val="00474982"/>
    <w:rPr>
      <w:sz w:val="16"/>
      <w:szCs w:val="16"/>
    </w:rPr>
  </w:style>
  <w:style w:type="paragraph" w:styleId="CommentText">
    <w:name w:val="annotation text"/>
    <w:basedOn w:val="Normal"/>
    <w:link w:val="CommentTextChar"/>
    <w:uiPriority w:val="99"/>
    <w:semiHidden/>
    <w:unhideWhenUsed/>
    <w:rsid w:val="00474982"/>
    <w:pPr>
      <w:spacing w:line="240" w:lineRule="auto"/>
    </w:pPr>
    <w:rPr>
      <w:sz w:val="20"/>
      <w:szCs w:val="20"/>
    </w:rPr>
  </w:style>
  <w:style w:type="character" w:customStyle="1" w:styleId="CommentTextChar">
    <w:name w:val="Comment Text Char"/>
    <w:basedOn w:val="DefaultParagraphFont"/>
    <w:link w:val="CommentText"/>
    <w:uiPriority w:val="99"/>
    <w:semiHidden/>
    <w:rsid w:val="00474982"/>
    <w:rPr>
      <w:sz w:val="20"/>
      <w:szCs w:val="20"/>
    </w:rPr>
  </w:style>
  <w:style w:type="paragraph" w:styleId="CommentSubject">
    <w:name w:val="annotation subject"/>
    <w:basedOn w:val="CommentText"/>
    <w:next w:val="CommentText"/>
    <w:link w:val="CommentSubjectChar"/>
    <w:uiPriority w:val="99"/>
    <w:semiHidden/>
    <w:unhideWhenUsed/>
    <w:rsid w:val="00474982"/>
    <w:rPr>
      <w:b/>
      <w:bCs/>
    </w:rPr>
  </w:style>
  <w:style w:type="character" w:customStyle="1" w:styleId="CommentSubjectChar">
    <w:name w:val="Comment Subject Char"/>
    <w:basedOn w:val="CommentTextChar"/>
    <w:link w:val="CommentSubject"/>
    <w:uiPriority w:val="99"/>
    <w:semiHidden/>
    <w:rsid w:val="00474982"/>
    <w:rPr>
      <w:b/>
      <w:bCs/>
      <w:sz w:val="20"/>
      <w:szCs w:val="20"/>
    </w:rPr>
  </w:style>
  <w:style w:type="paragraph" w:styleId="BalloonText">
    <w:name w:val="Balloon Text"/>
    <w:basedOn w:val="Normal"/>
    <w:link w:val="BalloonTextChar"/>
    <w:uiPriority w:val="99"/>
    <w:semiHidden/>
    <w:unhideWhenUsed/>
    <w:rsid w:val="004749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982"/>
    <w:rPr>
      <w:rFonts w:ascii="Segoe UI" w:hAnsi="Segoe UI" w:cs="Segoe UI"/>
      <w:sz w:val="18"/>
      <w:szCs w:val="18"/>
    </w:rPr>
  </w:style>
  <w:style w:type="paragraph" w:styleId="BodyText">
    <w:name w:val="Body Text"/>
    <w:basedOn w:val="Normal"/>
    <w:link w:val="BodyTextChar"/>
    <w:uiPriority w:val="99"/>
    <w:semiHidden/>
    <w:unhideWhenUsed/>
    <w:rsid w:val="00D15440"/>
    <w:pPr>
      <w:spacing w:after="120"/>
    </w:pPr>
  </w:style>
  <w:style w:type="character" w:customStyle="1" w:styleId="BodyTextChar">
    <w:name w:val="Body Text Char"/>
    <w:basedOn w:val="DefaultParagraphFont"/>
    <w:link w:val="BodyText"/>
    <w:uiPriority w:val="99"/>
    <w:semiHidden/>
    <w:rsid w:val="00D15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upremecourt.gov/orders/courtorders/012120zor_7k47.pdf" TargetMode="External"/><Relationship Id="rId18" Type="http://schemas.openxmlformats.org/officeDocument/2006/relationships/hyperlink" Target="https://www.govinfo.gov/content/pkg/FR-2020-01-17/pdf/2020-00738.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a5.uscourts.gov/opinions/pub/19/19-10011-CV0.pdf" TargetMode="External"/><Relationship Id="rId17" Type="http://schemas.openxmlformats.org/officeDocument/2006/relationships/hyperlink" Target="https://www.hhs.gov/hipaa/for-professionals/security/index.html" TargetMode="External"/><Relationship Id="rId2" Type="http://schemas.openxmlformats.org/officeDocument/2006/relationships/numbering" Target="numbering.xml"/><Relationship Id="rId16" Type="http://schemas.openxmlformats.org/officeDocument/2006/relationships/hyperlink" Target="https://www.hhs.gov/hipaa/for-professionals/privacy/index.html" TargetMode="External"/><Relationship Id="rId20" Type="http://schemas.openxmlformats.org/officeDocument/2006/relationships/hyperlink" Target="https://www.hhs.gov/hipaa/for-professionals/security/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premecourt.gov/orders/courtorders/012120zor_7k47.pdf" TargetMode="External"/><Relationship Id="rId5" Type="http://schemas.openxmlformats.org/officeDocument/2006/relationships/webSettings" Target="webSettings.xml"/><Relationship Id="rId15" Type="http://schemas.openxmlformats.org/officeDocument/2006/relationships/hyperlink" Target="https://www.govinfo.gov/content/pkg/FR-2020-01-17/pdf/2020-00738.pdf" TargetMode="External"/><Relationship Id="rId23" Type="http://schemas.openxmlformats.org/officeDocument/2006/relationships/theme" Target="theme/theme1.xml"/><Relationship Id="rId10" Type="http://schemas.openxmlformats.org/officeDocument/2006/relationships/hyperlink" Target="https://www.govinfo.gov/content/pkg/FR-2019-01-24/pdf/2019-00077.pdf" TargetMode="External"/><Relationship Id="rId19" Type="http://schemas.openxmlformats.org/officeDocument/2006/relationships/hyperlink" Target="https://www.hhs.gov/hipaa/for-professionals/privacy/index.html" TargetMode="External"/><Relationship Id="rId4" Type="http://schemas.openxmlformats.org/officeDocument/2006/relationships/settings" Target="settings.xml"/><Relationship Id="rId9" Type="http://schemas.openxmlformats.org/officeDocument/2006/relationships/hyperlink" Target="https://www.govinfo.gov/content/pkg/FR-2019-01-24/pdf/2019-00077.pdf" TargetMode="External"/><Relationship Id="rId14" Type="http://schemas.openxmlformats.org/officeDocument/2006/relationships/hyperlink" Target="http://www.ca5.uscourts.gov/opinions/pub/19/19-10011-CV0.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Benefits%20Buzz\2020\Benefits_Buzz-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DD208-E73E-44D2-9E98-6D5E86F24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Benefits_Buzz-EB-2020-US</Template>
  <TotalTime>0</TotalTime>
  <Pages>1</Pages>
  <Words>1</Words>
  <Characters>10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Jacobs, Jessica</cp:lastModifiedBy>
  <cp:revision>2</cp:revision>
  <dcterms:created xsi:type="dcterms:W3CDTF">2020-03-05T16:27:00Z</dcterms:created>
  <dcterms:modified xsi:type="dcterms:W3CDTF">2020-03-05T16:27:00Z</dcterms:modified>
</cp:coreProperties>
</file>