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300C" w:rsidRPr="00D001DF" w:rsidRDefault="00F201F7" w:rsidP="009C336C">
      <w:pPr>
        <w:pStyle w:val="Body"/>
      </w:pPr>
      <w:bookmarkStart w:id="0" w:name="_GoBack"/>
      <w:bookmarkEnd w:id="0"/>
      <w:r w:rsidRPr="00D001DF">
        <w:rPr>
          <w:noProof/>
        </w:rPr>
        <w:drawing>
          <wp:anchor distT="0" distB="0" distL="114300" distR="114300" simplePos="0" relativeHeight="251658240" behindDoc="0" locked="1" layoutInCell="1" allowOverlap="1">
            <wp:simplePos x="0" y="0"/>
            <wp:positionH relativeFrom="margin">
              <wp:posOffset>2730500</wp:posOffset>
            </wp:positionH>
            <wp:positionV relativeFrom="margin">
              <wp:posOffset>7810500</wp:posOffset>
            </wp:positionV>
            <wp:extent cx="1645923" cy="1120142"/>
            <wp:effectExtent l="0" t="0" r="0" b="0"/>
            <wp:wrapNone/>
            <wp:docPr id="100022" name="Picture 100022"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0133"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w:rPr>
          <w:noProof/>
        </w:rPr>
        <mc:AlternateContent>
          <mc:Choice Requires="wps">
            <w:drawing>
              <wp:anchor distT="0" distB="0" distL="114300" distR="114300" simplePos="0" relativeHeight="251665408" behindDoc="0" locked="0" layoutInCell="1" allowOverlap="1">
                <wp:simplePos x="0" y="0"/>
                <wp:positionH relativeFrom="margin">
                  <wp:posOffset>0</wp:posOffset>
                </wp:positionH>
                <wp:positionV relativeFrom="paragraph">
                  <wp:posOffset>-349719</wp:posOffset>
                </wp:positionV>
                <wp:extent cx="4646295" cy="532737"/>
                <wp:effectExtent l="0" t="0" r="1905" b="1270"/>
                <wp:wrapNone/>
                <wp:docPr id="6" name="Text Box 6"/>
                <wp:cNvGraphicFramePr/>
                <a:graphic xmlns:a="http://schemas.openxmlformats.org/drawingml/2006/main">
                  <a:graphicData uri="http://schemas.microsoft.com/office/word/2010/wordprocessingShape">
                    <wps:wsp>
                      <wps:cNvSpPr txBox="1"/>
                      <wps:spPr>
                        <a:xfrm>
                          <a:off x="0" y="0"/>
                          <a:ext cx="4646295" cy="532737"/>
                        </a:xfrm>
                        <a:prstGeom prst="rect">
                          <a:avLst/>
                        </a:prstGeom>
                        <a:noFill/>
                        <a:ln w="6350">
                          <a:noFill/>
                        </a:ln>
                      </wps:spPr>
                      <wps:txbx>
                        <w:txbxContent>
                          <w:p w:rsidR="009C336C" w:rsidRDefault="00F201F7" w:rsidP="009C336C">
                            <w:pPr>
                              <w:pStyle w:val="1Header"/>
                            </w:pPr>
                            <w:r>
                              <w:t>Cadillac Tax and Other Key ACA Taxes Repealed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5" type="#_x0000_t202" style="width:365.85pt;height:41.95pt;margin-top:-27.55pt;margin-left:0;mso-height-percent:0;mso-height-relative:margin;mso-position-horizontal-relative:margin;mso-width-percent:0;mso-width-relative:margin;mso-wrap-distance-bottom:0;mso-wrap-distance-left:9pt;mso-wrap-distance-right:9pt;mso-wrap-distance-top:0;mso-wrap-style:square;position:absolute;visibility:visible;v-text-anchor:middle;z-index:251666432" filled="f" stroked="f" strokeweight="0.5pt">
                <v:textbox inset="0,,0">
                  <w:txbxContent>
                    <w:p w:rsidR="009C336C" w:rsidP="009C336C" w14:paraId="70E255FC" w14:textId="77777777">
                      <w:pPr>
                        <w:pStyle w:val="1Header"/>
                      </w:pPr>
                      <w:r>
                        <w:t>Cadillac Tax and Other Key ACA Taxes Repealed</w:t>
                      </w:r>
                    </w:p>
                  </w:txbxContent>
                </v:textbox>
                <w10:wrap anchorx="margin"/>
              </v:shape>
            </w:pict>
          </mc:Fallback>
        </mc:AlternateContent>
      </w:r>
      <w:r w:rsidR="005259E6">
        <w:rPr>
          <w:noProof/>
        </w:rPr>
        <mc:AlternateContent>
          <mc:Choice Requires="wps">
            <w:drawing>
              <wp:anchor distT="0" distB="0" distL="114300" distR="114300" simplePos="0" relativeHeight="251671552" behindDoc="0" locked="0" layoutInCell="1" allowOverlap="1">
                <wp:simplePos x="0" y="0"/>
                <wp:positionH relativeFrom="margin">
                  <wp:posOffset>-31213</wp:posOffset>
                </wp:positionH>
                <wp:positionV relativeFrom="paragraph">
                  <wp:posOffset>3375855</wp:posOffset>
                </wp:positionV>
                <wp:extent cx="4616450" cy="578485"/>
                <wp:effectExtent l="0" t="0" r="12700" b="0"/>
                <wp:wrapNone/>
                <wp:docPr id="19" name="Text Box 19"/>
                <wp:cNvGraphicFramePr/>
                <a:graphic xmlns:a="http://schemas.openxmlformats.org/drawingml/2006/main">
                  <a:graphicData uri="http://schemas.microsoft.com/office/word/2010/wordprocessingShape">
                    <wps:wsp>
                      <wps:cNvSpPr txBox="1"/>
                      <wps:spPr>
                        <a:xfrm>
                          <a:off x="0" y="0"/>
                          <a:ext cx="4616450" cy="578485"/>
                        </a:xfrm>
                        <a:prstGeom prst="rect">
                          <a:avLst/>
                        </a:prstGeom>
                        <a:noFill/>
                        <a:ln w="6350">
                          <a:noFill/>
                        </a:ln>
                      </wps:spPr>
                      <wps:txbx>
                        <w:txbxContent>
                          <w:p w:rsidR="009C336C" w:rsidRDefault="00F201F7" w:rsidP="009C336C">
                            <w:pPr>
                              <w:pStyle w:val="1Header"/>
                            </w:pPr>
                            <w:r>
                              <w:t xml:space="preserve">PCORI Fees </w:t>
                            </w:r>
                            <w:r w:rsidR="005259E6">
                              <w:t xml:space="preserve">Extended </w:t>
                            </w:r>
                            <w:r>
                              <w:t>for 10 Years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9" o:spid="_x0000_s1026" type="#_x0000_t202" style="width:363.5pt;height:45.55pt;margin-top:265.8pt;margin-left:-2.45pt;mso-height-percent:0;mso-height-relative:margin;mso-position-horizontal-relative:margin;mso-width-percent:0;mso-width-relative:margin;mso-wrap-distance-bottom:0;mso-wrap-distance-left:9pt;mso-wrap-distance-right:9pt;mso-wrap-distance-top:0;mso-wrap-style:square;position:absolute;visibility:visible;v-text-anchor:top;z-index:251672576" filled="f" stroked="f" strokeweight="0.5pt">
                <v:textbox inset="0,,0">
                  <w:txbxContent>
                    <w:p w:rsidR="009C336C" w:rsidP="009C336C" w14:paraId="0CAC68C4" w14:textId="77777777">
                      <w:pPr>
                        <w:pStyle w:val="1Header"/>
                      </w:pPr>
                      <w:r>
                        <w:t xml:space="preserve">PCORI Fees </w:t>
                      </w:r>
                      <w:r w:rsidR="005259E6">
                        <w:t xml:space="preserve">Extended </w:t>
                      </w:r>
                      <w:r>
                        <w:t>for 10 Years</w:t>
                      </w:r>
                    </w:p>
                  </w:txbxContent>
                </v:textbox>
                <w10:wrap anchorx="margin"/>
              </v:shape>
            </w:pict>
          </mc:Fallback>
        </mc:AlternateContent>
      </w:r>
      <w:r w:rsidR="008B0BCC">
        <w:rPr>
          <w:noProof/>
        </w:rPr>
        <mc:AlternateContent>
          <mc:Choice Requires="wps">
            <w:drawing>
              <wp:anchor distT="0" distB="0" distL="114300" distR="114300" simplePos="0" relativeHeight="251663360" behindDoc="0" locked="0" layoutInCell="1" allowOverlap="1">
                <wp:simplePos x="0" y="0"/>
                <wp:positionH relativeFrom="margin">
                  <wp:posOffset>-1905</wp:posOffset>
                </wp:positionH>
                <wp:positionV relativeFrom="paragraph">
                  <wp:posOffset>86359</wp:posOffset>
                </wp:positionV>
                <wp:extent cx="2105025" cy="3152775"/>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105025" cy="3152775"/>
                        </a:xfrm>
                        <a:prstGeom prst="rect">
                          <a:avLst/>
                        </a:prstGeom>
                        <a:noFill/>
                        <a:ln w="6350">
                          <a:noFill/>
                        </a:ln>
                      </wps:spPr>
                      <wps:txbx>
                        <w:txbxContent>
                          <w:p w:rsidR="0084422A" w:rsidRDefault="00F201F7" w:rsidP="0084422A">
                            <w:pPr>
                              <w:pStyle w:val="Body"/>
                            </w:pPr>
                            <w:r>
                              <w:t xml:space="preserve">The federal </w:t>
                            </w:r>
                            <w:hyperlink r:id="rId9" w:history="1">
                              <w:r w:rsidRPr="0084422A">
                                <w:rPr>
                                  <w:rStyle w:val="Hyperlink"/>
                                </w:rPr>
                                <w:t>spending bill</w:t>
                              </w:r>
                            </w:hyperlink>
                            <w:r w:rsidRPr="0084422A">
                              <w:t xml:space="preserve"> </w:t>
                            </w:r>
                            <w:r>
                              <w:t>signed into law at the end of 2019</w:t>
                            </w:r>
                            <w:r w:rsidRPr="0084422A">
                              <w:t xml:space="preserve"> repeal</w:t>
                            </w:r>
                            <w:r w:rsidR="00CE00B1">
                              <w:t>ed</w:t>
                            </w:r>
                            <w:r w:rsidRPr="0084422A">
                              <w:t xml:space="preserve"> three taxes and fees under the Affordable Care Act (ACA):</w:t>
                            </w:r>
                          </w:p>
                          <w:p w:rsidR="0084422A" w:rsidRDefault="00F201F7" w:rsidP="0084422A">
                            <w:pPr>
                              <w:pStyle w:val="BulletList"/>
                            </w:pPr>
                            <w:r w:rsidRPr="0084422A">
                              <w:t xml:space="preserve">The Cadillac tax </w:t>
                            </w:r>
                          </w:p>
                          <w:p w:rsidR="0084422A" w:rsidRDefault="00F201F7" w:rsidP="0084422A">
                            <w:pPr>
                              <w:pStyle w:val="BulletList"/>
                            </w:pPr>
                            <w:r>
                              <w:t>The medical devices excise tax</w:t>
                            </w:r>
                          </w:p>
                          <w:p w:rsidR="0084422A" w:rsidRDefault="00F201F7" w:rsidP="0084422A">
                            <w:pPr>
                              <w:pStyle w:val="BulletList"/>
                            </w:pPr>
                            <w:r>
                              <w:t>The health insurance providers fee</w:t>
                            </w:r>
                          </w:p>
                          <w:p w:rsidR="0084422A" w:rsidRDefault="00F201F7" w:rsidP="0084422A">
                            <w:pPr>
                              <w:pStyle w:val="2Header"/>
                            </w:pPr>
                            <w:r>
                              <w:t>The Cadillac Tax</w:t>
                            </w:r>
                          </w:p>
                          <w:p w:rsidR="008B0BCC" w:rsidRPr="0084422A" w:rsidRDefault="00F201F7" w:rsidP="008B0BCC">
                            <w:pPr>
                              <w:pStyle w:val="Body"/>
                              <w:rPr>
                                <w:rStyle w:val="BodyChar"/>
                                <w:b/>
                              </w:rPr>
                            </w:pPr>
                            <w:r w:rsidRPr="0084422A">
                              <w:rPr>
                                <w:rStyle w:val="BodyChar"/>
                              </w:rPr>
                              <w:t>The Cadillac tax</w:t>
                            </w:r>
                            <w:r w:rsidR="00704495">
                              <w:rPr>
                                <w:rStyle w:val="BodyChar"/>
                              </w:rPr>
                              <w:t xml:space="preserve"> </w:t>
                            </w:r>
                            <w:r w:rsidR="00CE00B1">
                              <w:rPr>
                                <w:rStyle w:val="BodyChar"/>
                              </w:rPr>
                              <w:t>is a 40</w:t>
                            </w:r>
                            <w:r w:rsidR="00CF71A3">
                              <w:rPr>
                                <w:rStyle w:val="BodyChar"/>
                              </w:rPr>
                              <w:t>%</w:t>
                            </w:r>
                            <w:r w:rsidR="00CE00B1">
                              <w:rPr>
                                <w:rStyle w:val="BodyChar"/>
                              </w:rPr>
                              <w:t xml:space="preserve"> excise tax on high-cost group health coverage. Its effective date was previously delayed several times. This tax </w:t>
                            </w:r>
                            <w:r w:rsidR="00704495">
                              <w:rPr>
                                <w:rStyle w:val="BodyChar"/>
                              </w:rPr>
                              <w:t xml:space="preserve">is </w:t>
                            </w:r>
                            <w:r w:rsidR="00CE00B1">
                              <w:rPr>
                                <w:rStyle w:val="BodyChar"/>
                              </w:rPr>
                              <w:t xml:space="preserve">now </w:t>
                            </w:r>
                            <w:r w:rsidR="00704495">
                              <w:rPr>
                                <w:rStyle w:val="BodyChar"/>
                              </w:rPr>
                              <w:t>fully repealed</w:t>
                            </w:r>
                            <w:r w:rsidRPr="0084422A">
                              <w:rPr>
                                <w:rStyle w:val="BodyChar"/>
                              </w:rPr>
                              <w:t>, beginning with the 2020 tax</w:t>
                            </w:r>
                            <w:r w:rsidR="00CE00B1">
                              <w:rPr>
                                <w:rStyle w:val="BodyChar"/>
                              </w:rPr>
                              <w:t xml:space="preserve"> </w:t>
                            </w:r>
                            <w:r w:rsidRPr="0084422A">
                              <w:rPr>
                                <w:rStyle w:val="BodyChar"/>
                              </w:rPr>
                              <w:t>year.</w:t>
                            </w:r>
                          </w:p>
                          <w:p w:rsidR="0084422A" w:rsidRPr="0084422A" w:rsidRDefault="0084422A" w:rsidP="0084422A">
                            <w:pPr>
                              <w:pStyle w:val="Body"/>
                            </w:pPr>
                          </w:p>
                          <w:p w:rsidR="00C13860" w:rsidRDefault="00C13860" w:rsidP="00C13860">
                            <w:pPr>
                              <w:spacing w:line="252" w:lineRule="auto"/>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width:165.75pt;height:248.25pt;margin-top:6.8pt;margin-left:-0.15pt;mso-height-percent:0;mso-height-relative:margin;mso-position-horizontal-relative:margin;mso-width-percent:0;mso-width-relative:margin;mso-wrap-distance-bottom:0;mso-wrap-distance-left:9pt;mso-wrap-distance-right:9pt;mso-wrap-distance-top:0;mso-wrap-style:square;position:absolute;visibility:visible;v-text-anchor:top;z-index:251664384" filled="f" stroked="f" strokeweight="0.5pt">
                <v:textbox inset="0,,0">
                  <w:txbxContent>
                    <w:p w:rsidR="0084422A" w:rsidP="0084422A" w14:paraId="0AD40750" w14:textId="77777777">
                      <w:pPr>
                        <w:pStyle w:val="Body"/>
                      </w:pPr>
                      <w:r>
                        <w:t xml:space="preserve">The federal </w:t>
                      </w:r>
                      <w:r>
                        <w:fldChar w:fldCharType="begin"/>
                      </w:r>
                      <w:r>
                        <w:instrText xml:space="preserve"> HYPERLINK "https://www.congress.gov/bill/116th-congress/house-bill/1865/text" </w:instrText>
                      </w:r>
                      <w:r>
                        <w:fldChar w:fldCharType="separate"/>
                      </w:r>
                      <w:r w:rsidRPr="0084422A">
                        <w:rPr>
                          <w:rStyle w:val="Hyperlink"/>
                        </w:rPr>
                        <w:t>spending bill</w:t>
                      </w:r>
                      <w:r>
                        <w:fldChar w:fldCharType="end"/>
                      </w:r>
                      <w:r w:rsidRPr="0084422A">
                        <w:t xml:space="preserve"> </w:t>
                      </w:r>
                      <w:r>
                        <w:t>signed into law at the end of 2019</w:t>
                      </w:r>
                      <w:r w:rsidRPr="0084422A">
                        <w:t xml:space="preserve"> repeal</w:t>
                      </w:r>
                      <w:r w:rsidR="00CE00B1">
                        <w:t>ed</w:t>
                      </w:r>
                      <w:r w:rsidRPr="0084422A">
                        <w:t xml:space="preserve"> three taxes and fees under the Affordable Care Act (ACA):</w:t>
                      </w:r>
                    </w:p>
                    <w:p w:rsidR="0084422A" w:rsidP="0084422A" w14:paraId="03292D61" w14:textId="77777777">
                      <w:pPr>
                        <w:pStyle w:val="BulletList"/>
                      </w:pPr>
                      <w:r w:rsidRPr="0084422A">
                        <w:t xml:space="preserve">The Cadillac </w:t>
                      </w:r>
                      <w:r w:rsidRPr="0084422A">
                        <w:t>tax</w:t>
                      </w:r>
                      <w:r w:rsidRPr="0084422A">
                        <w:t xml:space="preserve"> </w:t>
                      </w:r>
                    </w:p>
                    <w:p w:rsidR="0084422A" w:rsidP="0084422A" w14:paraId="5DBEA73F" w14:textId="77777777">
                      <w:pPr>
                        <w:pStyle w:val="BulletList"/>
                      </w:pPr>
                      <w:r>
                        <w:t>The medical devices excise tax</w:t>
                      </w:r>
                    </w:p>
                    <w:p w:rsidR="0084422A" w:rsidP="0084422A" w14:paraId="762300E4" w14:textId="77777777">
                      <w:pPr>
                        <w:pStyle w:val="BulletList"/>
                      </w:pPr>
                      <w:r>
                        <w:t>The health insurance providers fee</w:t>
                      </w:r>
                    </w:p>
                    <w:p w:rsidR="0084422A" w:rsidP="0084422A" w14:paraId="37E615FA" w14:textId="77777777">
                      <w:pPr>
                        <w:pStyle w:val="2Header"/>
                      </w:pPr>
                      <w:r>
                        <w:t>The Cadillac Tax</w:t>
                      </w:r>
                    </w:p>
                    <w:p w:rsidR="008B0BCC" w:rsidRPr="0084422A" w:rsidP="008B0BCC" w14:paraId="10E5E812" w14:textId="77777777">
                      <w:pPr>
                        <w:pStyle w:val="Body"/>
                        <w:rPr>
                          <w:rStyle w:val="BodyChar"/>
                          <w:b/>
                        </w:rPr>
                      </w:pPr>
                      <w:r w:rsidRPr="0084422A">
                        <w:rPr>
                          <w:rStyle w:val="BodyChar"/>
                        </w:rPr>
                        <w:t>The Cadillac tax</w:t>
                      </w:r>
                      <w:r w:rsidR="00704495">
                        <w:rPr>
                          <w:rStyle w:val="BodyChar"/>
                        </w:rPr>
                        <w:t xml:space="preserve"> </w:t>
                      </w:r>
                      <w:r w:rsidR="00CE00B1">
                        <w:rPr>
                          <w:rStyle w:val="BodyChar"/>
                        </w:rPr>
                        <w:t>is a 40</w:t>
                      </w:r>
                      <w:r w:rsidR="00CF71A3">
                        <w:rPr>
                          <w:rStyle w:val="BodyChar"/>
                        </w:rPr>
                        <w:t>%</w:t>
                      </w:r>
                      <w:r w:rsidR="00CE00B1">
                        <w:rPr>
                          <w:rStyle w:val="BodyChar"/>
                        </w:rPr>
                        <w:t xml:space="preserve"> excise tax on high-cost group health coverage. Its effective date was previously delayed several times. This tax </w:t>
                      </w:r>
                      <w:r w:rsidR="00704495">
                        <w:rPr>
                          <w:rStyle w:val="BodyChar"/>
                        </w:rPr>
                        <w:t xml:space="preserve">is </w:t>
                      </w:r>
                      <w:r w:rsidR="00CE00B1">
                        <w:rPr>
                          <w:rStyle w:val="BodyChar"/>
                        </w:rPr>
                        <w:t xml:space="preserve">now </w:t>
                      </w:r>
                      <w:r w:rsidR="00704495">
                        <w:rPr>
                          <w:rStyle w:val="BodyChar"/>
                        </w:rPr>
                        <w:t>fully repealed</w:t>
                      </w:r>
                      <w:r w:rsidRPr="0084422A">
                        <w:rPr>
                          <w:rStyle w:val="BodyChar"/>
                        </w:rPr>
                        <w:t>, beginning with the 2020 tax</w:t>
                      </w:r>
                      <w:r w:rsidR="00CE00B1">
                        <w:rPr>
                          <w:rStyle w:val="BodyChar"/>
                        </w:rPr>
                        <w:t xml:space="preserve"> </w:t>
                      </w:r>
                      <w:r w:rsidRPr="0084422A">
                        <w:rPr>
                          <w:rStyle w:val="BodyChar"/>
                        </w:rPr>
                        <w:t>year.</w:t>
                      </w:r>
                    </w:p>
                    <w:p w:rsidR="0084422A" w:rsidRPr="0084422A" w:rsidP="0084422A" w14:paraId="5F04C29E" w14:textId="77777777">
                      <w:pPr>
                        <w:pStyle w:val="Body"/>
                      </w:pPr>
                    </w:p>
                    <w:p w:rsidR="00C13860" w:rsidP="00C13860" w14:paraId="54AB1D8F" w14:textId="77777777">
                      <w:pPr>
                        <w:spacing w:line="252" w:lineRule="auto"/>
                      </w:pPr>
                    </w:p>
                  </w:txbxContent>
                </v:textbox>
                <w10:wrap anchorx="margin"/>
              </v:shape>
            </w:pict>
          </mc:Fallback>
        </mc:AlternateContent>
      </w:r>
      <w:r w:rsidR="0084422A">
        <w:rPr>
          <w:noProof/>
        </w:rPr>
        <mc:AlternateContent>
          <mc:Choice Requires="wps">
            <w:drawing>
              <wp:anchor distT="0" distB="0" distL="114300" distR="114300" simplePos="0" relativeHeight="251667456" behindDoc="0" locked="0" layoutInCell="1" allowOverlap="1">
                <wp:simplePos x="0" y="0"/>
                <wp:positionH relativeFrom="margin">
                  <wp:posOffset>2226945</wp:posOffset>
                </wp:positionH>
                <wp:positionV relativeFrom="paragraph">
                  <wp:posOffset>86360</wp:posOffset>
                </wp:positionV>
                <wp:extent cx="2228850" cy="32385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28850" cy="3238500"/>
                        </a:xfrm>
                        <a:prstGeom prst="rect">
                          <a:avLst/>
                        </a:prstGeom>
                        <a:noFill/>
                        <a:ln w="6350">
                          <a:noFill/>
                        </a:ln>
                      </wps:spPr>
                      <wps:txbx>
                        <w:txbxContent>
                          <w:p w:rsidR="0084422A" w:rsidRDefault="00F201F7" w:rsidP="0084422A">
                            <w:pPr>
                              <w:pStyle w:val="2Header"/>
                            </w:pPr>
                            <w:r>
                              <w:t>The Medical Devices Excise Tax</w:t>
                            </w:r>
                          </w:p>
                          <w:p w:rsidR="0084422A" w:rsidRDefault="00F201F7" w:rsidP="0084422A">
                            <w:pPr>
                              <w:pStyle w:val="Body"/>
                            </w:pPr>
                            <w:r w:rsidRPr="0084422A">
                              <w:t xml:space="preserve">The medical devices tax </w:t>
                            </w:r>
                            <w:r w:rsidR="00CE00B1" w:rsidRPr="00CE00B1">
                              <w:t>is a 2.3</w:t>
                            </w:r>
                            <w:r w:rsidR="00CF71A3">
                              <w:t>%</w:t>
                            </w:r>
                            <w:r w:rsidR="00CE00B1" w:rsidRPr="00CE00B1">
                              <w:t xml:space="preserve"> excise tax on the sales price of certain medical devices</w:t>
                            </w:r>
                            <w:r w:rsidR="00CE00B1">
                              <w:t>.</w:t>
                            </w:r>
                            <w:r w:rsidR="00CE00B1" w:rsidRPr="00CE00B1">
                              <w:t xml:space="preserve"> </w:t>
                            </w:r>
                            <w:r w:rsidR="00CE00B1">
                              <w:t xml:space="preserve">This tax is fully repealed </w:t>
                            </w:r>
                            <w:r w:rsidRPr="0084422A">
                              <w:t xml:space="preserve">beginning in 2020. </w:t>
                            </w:r>
                          </w:p>
                          <w:p w:rsidR="0084422A" w:rsidRDefault="00F201F7" w:rsidP="0084422A">
                            <w:pPr>
                              <w:pStyle w:val="2Header"/>
                            </w:pPr>
                            <w:r>
                              <w:t>Health Insurance Providers Fee</w:t>
                            </w:r>
                          </w:p>
                          <w:p w:rsidR="0084422A" w:rsidRDefault="00F201F7" w:rsidP="0084422A">
                            <w:pPr>
                              <w:pStyle w:val="Body"/>
                            </w:pPr>
                            <w:r w:rsidRPr="008B0BCC">
                              <w:t>The health insurance providers fee</w:t>
                            </w:r>
                            <w:r w:rsidR="00680B77">
                              <w:t xml:space="preserve"> is an annual fee imposed on the health insurance sector. This fee is repealed</w:t>
                            </w:r>
                            <w:r w:rsidRPr="008B0BCC">
                              <w:t xml:space="preserve"> beginning with the 2021 calendar year.</w:t>
                            </w:r>
                          </w:p>
                          <w:p w:rsidR="00C13860" w:rsidRDefault="00F201F7" w:rsidP="008B0BCC">
                            <w:pPr>
                              <w:pStyle w:val="Body"/>
                            </w:pPr>
                            <w:r w:rsidRPr="008B0BCC">
                              <w:t>Employers should be aware of the evolving applicabili</w:t>
                            </w:r>
                            <w:r w:rsidRPr="008B0BCC">
                              <w:t xml:space="preserve">ty of existing ACA taxes and fees so they know how the ACA affects their bottom lines.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width:175.5pt;height:255pt;margin-top:6.8pt;margin-left:175.35pt;mso-height-percent:0;mso-height-relative:margin;mso-position-horizontal-relative:margin;mso-width-percent:0;mso-width-relative:margin;mso-wrap-distance-bottom:0;mso-wrap-distance-left:9pt;mso-wrap-distance-right:9pt;mso-wrap-distance-top:0;mso-wrap-style:square;position:absolute;visibility:visible;v-text-anchor:top;z-index:251668480" filled="f" stroked="f" strokeweight="0.5pt">
                <v:textbox inset="0,,0">
                  <w:txbxContent>
                    <w:p w:rsidR="0084422A" w:rsidP="0084422A" w14:paraId="017DE971" w14:textId="77777777">
                      <w:pPr>
                        <w:pStyle w:val="2Header"/>
                      </w:pPr>
                      <w:r>
                        <w:t>The Medical Devices Excise Tax</w:t>
                      </w:r>
                    </w:p>
                    <w:p w:rsidR="0084422A" w:rsidP="0084422A" w14:paraId="56715670" w14:textId="77777777">
                      <w:pPr>
                        <w:pStyle w:val="Body"/>
                      </w:pPr>
                      <w:r w:rsidRPr="0084422A">
                        <w:t xml:space="preserve">The medical devices tax </w:t>
                      </w:r>
                      <w:r w:rsidRPr="00CE00B1" w:rsidR="00CE00B1">
                        <w:t>is a 2.3</w:t>
                      </w:r>
                      <w:r w:rsidR="00CF71A3">
                        <w:t>%</w:t>
                      </w:r>
                      <w:r w:rsidRPr="00CE00B1" w:rsidR="00CE00B1">
                        <w:t xml:space="preserve"> excise tax on the sales price of certain medical devices</w:t>
                      </w:r>
                      <w:r w:rsidR="00CE00B1">
                        <w:t>.</w:t>
                      </w:r>
                      <w:r w:rsidRPr="00CE00B1" w:rsidR="00CE00B1">
                        <w:t xml:space="preserve"> </w:t>
                      </w:r>
                      <w:r w:rsidR="00CE00B1">
                        <w:t xml:space="preserve">This tax is fully repealed </w:t>
                      </w:r>
                      <w:r w:rsidRPr="0084422A">
                        <w:t xml:space="preserve">beginning in 2020. </w:t>
                      </w:r>
                    </w:p>
                    <w:p w:rsidR="0084422A" w:rsidP="0084422A" w14:paraId="550DDDFB" w14:textId="77777777">
                      <w:pPr>
                        <w:pStyle w:val="2Header"/>
                      </w:pPr>
                      <w:r>
                        <w:t>Health Insurance Providers Fee</w:t>
                      </w:r>
                    </w:p>
                    <w:p w:rsidR="0084422A" w:rsidP="0084422A" w14:paraId="1009BC94" w14:textId="77777777">
                      <w:pPr>
                        <w:pStyle w:val="Body"/>
                      </w:pPr>
                      <w:r w:rsidRPr="008B0BCC">
                        <w:t>The health insurance providers fee</w:t>
                      </w:r>
                      <w:r w:rsidR="00680B77">
                        <w:t xml:space="preserve"> is an annual fee imposed on the health insurance sector. This fee is repealed</w:t>
                      </w:r>
                      <w:r w:rsidRPr="008B0BCC">
                        <w:t xml:space="preserve"> beginning with the 2021 calendar year.</w:t>
                      </w:r>
                    </w:p>
                    <w:p w:rsidR="00C13860" w:rsidP="008B0BCC" w14:paraId="60943DCD" w14:textId="77F16B46">
                      <w:pPr>
                        <w:pStyle w:val="Body"/>
                      </w:pPr>
                      <w:r w:rsidRPr="008B0BCC">
                        <w:t xml:space="preserve">Employers should be aware of the evolving applicability of existing ACA taxes and fees so they know how the ACA affects their bottom lines. </w:t>
                      </w:r>
                    </w:p>
                  </w:txbxContent>
                </v:textbox>
                <w10:wrap anchorx="margin"/>
              </v:shape>
            </w:pict>
          </mc:Fallback>
        </mc:AlternateContent>
      </w:r>
      <w:r w:rsidR="009054EF">
        <w:rPr>
          <w:noProof/>
        </w:rPr>
        <mc:AlternateContent>
          <mc:Choice Requires="wps">
            <w:drawing>
              <wp:anchor distT="0" distB="0" distL="114300" distR="114300" simplePos="0" relativeHeight="251669504" behindDoc="0" locked="0" layoutInCell="1" allowOverlap="1">
                <wp:simplePos x="0" y="0"/>
                <wp:positionH relativeFrom="margin">
                  <wp:posOffset>-1905</wp:posOffset>
                </wp:positionH>
                <wp:positionV relativeFrom="paragraph">
                  <wp:posOffset>3755390</wp:posOffset>
                </wp:positionV>
                <wp:extent cx="2159000" cy="4057650"/>
                <wp:effectExtent l="0" t="0" r="12700" b="0"/>
                <wp:wrapNone/>
                <wp:docPr id="18" name="Text Box 18"/>
                <wp:cNvGraphicFramePr/>
                <a:graphic xmlns:a="http://schemas.openxmlformats.org/drawingml/2006/main">
                  <a:graphicData uri="http://schemas.microsoft.com/office/word/2010/wordprocessingShape">
                    <wps:wsp>
                      <wps:cNvSpPr txBox="1"/>
                      <wps:spPr>
                        <a:xfrm>
                          <a:off x="0" y="0"/>
                          <a:ext cx="2159000" cy="4057650"/>
                        </a:xfrm>
                        <a:prstGeom prst="rect">
                          <a:avLst/>
                        </a:prstGeom>
                        <a:noFill/>
                        <a:ln w="6350">
                          <a:noFill/>
                        </a:ln>
                      </wps:spPr>
                      <wps:txbx>
                        <w:txbxContent>
                          <w:p w:rsidR="003E2CDC" w:rsidRDefault="00F201F7" w:rsidP="00317064">
                            <w:pPr>
                              <w:pStyle w:val="Body"/>
                            </w:pPr>
                            <w:r>
                              <w:t xml:space="preserve">The same spending bill that repealed the Cadillac tax, the medical devices excise tax and the health insurance providers fee reinstated the </w:t>
                            </w:r>
                            <w:r>
                              <w:t xml:space="preserve">annual Patient-Centered Outcomes Research Institute (PCORI) fees for the 2020-2029 fiscal years. </w:t>
                            </w:r>
                          </w:p>
                          <w:p w:rsidR="00317064" w:rsidRDefault="00F201F7" w:rsidP="00317064">
                            <w:pPr>
                              <w:pStyle w:val="Body"/>
                            </w:pPr>
                            <w:r w:rsidRPr="003E2CDC">
                              <w:t>As a result, specified health insurance policies and applicable self-insured health plans must continue to pay these fees through 2029.</w:t>
                            </w:r>
                          </w:p>
                          <w:p w:rsidR="003E2CDC" w:rsidRDefault="00F201F7" w:rsidP="003E2CDC">
                            <w:pPr>
                              <w:pStyle w:val="2Header"/>
                            </w:pPr>
                            <w:r>
                              <w:t xml:space="preserve">What </w:t>
                            </w:r>
                            <w:r w:rsidR="00474982">
                              <w:t>A</w:t>
                            </w:r>
                            <w:r>
                              <w:t xml:space="preserve">re the PCORI </w:t>
                            </w:r>
                            <w:r w:rsidR="00474982">
                              <w:t>F</w:t>
                            </w:r>
                            <w:r>
                              <w:t>ee</w:t>
                            </w:r>
                            <w:r>
                              <w:t>s?</w:t>
                            </w:r>
                          </w:p>
                          <w:p w:rsidR="003E2CDC" w:rsidRPr="00317064" w:rsidRDefault="00F201F7" w:rsidP="003E2CDC">
                            <w:pPr>
                              <w:pStyle w:val="Body"/>
                            </w:pPr>
                            <w:r w:rsidRPr="003E2CDC">
                              <w:t>The PCORI fees were created to help patients, clinicians, payers and the public make informed health decisions by advancing comparative effectiveness research. Fees paid by health insurance issuers and sponsors of self-insured health plans fund the inst</w:t>
                            </w:r>
                            <w:r w:rsidRPr="003E2CDC">
                              <w:t>itute’s research, in part.</w:t>
                            </w:r>
                          </w:p>
                          <w:p w:rsidR="009C336C" w:rsidRDefault="009C336C" w:rsidP="005617BE">
                            <w:pPr>
                              <w:pStyle w:val="Body"/>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width:170pt;height:319.5pt;margin-top:295.7pt;margin-left:-0.15pt;mso-height-percent:0;mso-height-relative:margin;mso-position-horizontal-relative:margin;mso-width-percent:0;mso-width-relative:margin;mso-wrap-distance-bottom:0;mso-wrap-distance-left:9pt;mso-wrap-distance-right:9pt;mso-wrap-distance-top:0;mso-wrap-style:square;position:absolute;visibility:visible;v-text-anchor:top;z-index:251670528" filled="f" stroked="f" strokeweight="0.5pt">
                <v:textbox inset="0,,0">
                  <w:txbxContent>
                    <w:p w:rsidR="003E2CDC" w:rsidP="00317064" w14:paraId="399E4264" w14:textId="77777777">
                      <w:pPr>
                        <w:pStyle w:val="Body"/>
                      </w:pPr>
                      <w:r>
                        <w:t xml:space="preserve">The same spending bill that repealed the Cadillac tax, the medical devices excise tax and the health insurance providers fee </w:t>
                      </w:r>
                      <w:r>
                        <w:t xml:space="preserve">reinstated </w:t>
                      </w:r>
                      <w:bookmarkStart w:id="0" w:name="_GoBack"/>
                      <w:r>
                        <w:t xml:space="preserve">the </w:t>
                      </w:r>
                      <w:r>
                        <w:t xml:space="preserve">annual Patient-Centered Outcomes Research Institute (PCORI) fees for the 2020-2029 fiscal years. </w:t>
                      </w:r>
                      <w:bookmarkEnd w:id="0"/>
                    </w:p>
                    <w:p w:rsidR="00317064" w:rsidP="00317064" w14:paraId="0765CAA0" w14:textId="77777777">
                      <w:pPr>
                        <w:pStyle w:val="Body"/>
                      </w:pPr>
                      <w:r w:rsidRPr="003E2CDC">
                        <w:t>As a result, specified health insurance policies and applicable self-insured health plans must continue to pay these fees through 2029.</w:t>
                      </w:r>
                    </w:p>
                    <w:p w:rsidR="003E2CDC" w:rsidP="003E2CDC" w14:paraId="671B1CDC" w14:textId="50F2C2E0">
                      <w:pPr>
                        <w:pStyle w:val="2Header"/>
                      </w:pPr>
                      <w:r>
                        <w:t xml:space="preserve">What </w:t>
                      </w:r>
                      <w:r w:rsidR="00474982">
                        <w:t>A</w:t>
                      </w:r>
                      <w:r>
                        <w:t xml:space="preserve">re the PCORI </w:t>
                      </w:r>
                      <w:r w:rsidR="00474982">
                        <w:t>F</w:t>
                      </w:r>
                      <w:r>
                        <w:t>ees?</w:t>
                      </w:r>
                    </w:p>
                    <w:p w:rsidR="003E2CDC" w:rsidRPr="00317064" w:rsidP="003E2CDC" w14:paraId="162F21BB" w14:textId="77777777">
                      <w:pPr>
                        <w:pStyle w:val="Body"/>
                      </w:pPr>
                      <w:r w:rsidRPr="003E2CDC">
                        <w:t>The PCORI fees were created to help patients, clinicians, payers and the public make informed health decisions by advancing comparative effectiveness research. Fees paid by health insurance issuers and sponsors of self-insured health plans fund the institute’s research, in part.</w:t>
                      </w:r>
                    </w:p>
                    <w:p w:rsidR="009C336C" w:rsidP="005617BE" w14:paraId="292DB570" w14:textId="77777777">
                      <w:pPr>
                        <w:pStyle w:val="Body"/>
                      </w:pPr>
                    </w:p>
                  </w:txbxContent>
                </v:textbox>
                <w10:wrap anchorx="margin"/>
              </v:shape>
            </w:pict>
          </mc:Fallback>
        </mc:AlternateContent>
      </w:r>
      <w:r w:rsidR="009054EF">
        <w:rPr>
          <w:noProof/>
        </w:rPr>
        <mc:AlternateContent>
          <mc:Choice Requires="wps">
            <w:drawing>
              <wp:anchor distT="0" distB="0" distL="114300" distR="114300" simplePos="0" relativeHeight="251673600" behindDoc="0" locked="0" layoutInCell="1" allowOverlap="1">
                <wp:simplePos x="0" y="0"/>
                <wp:positionH relativeFrom="margin">
                  <wp:posOffset>2322195</wp:posOffset>
                </wp:positionH>
                <wp:positionV relativeFrom="paragraph">
                  <wp:posOffset>3736340</wp:posOffset>
                </wp:positionV>
                <wp:extent cx="2133600" cy="40005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33600" cy="4000500"/>
                        </a:xfrm>
                        <a:prstGeom prst="rect">
                          <a:avLst/>
                        </a:prstGeom>
                        <a:noFill/>
                        <a:ln w="6350">
                          <a:noFill/>
                        </a:ln>
                      </wps:spPr>
                      <wps:txbx>
                        <w:txbxContent>
                          <w:p w:rsidR="003E2CDC" w:rsidRPr="003E2CDC" w:rsidRDefault="00F201F7" w:rsidP="003E2CDC">
                            <w:pPr>
                              <w:pStyle w:val="2Header"/>
                            </w:pPr>
                            <w:r w:rsidRPr="003E2CDC">
                              <w:t>Who Must Pay the PCORI Fees?</w:t>
                            </w:r>
                          </w:p>
                          <w:p w:rsidR="003E2CDC" w:rsidRPr="003E2CDC" w:rsidRDefault="00F201F7" w:rsidP="003E2CDC">
                            <w:pPr>
                              <w:pStyle w:val="Body"/>
                            </w:pPr>
                            <w:r w:rsidRPr="003E2CDC">
                              <w:t>The entity responsible for paying the PCORI fees depends on whether the plan is insured or self-insured.</w:t>
                            </w:r>
                          </w:p>
                          <w:p w:rsidR="003E2CDC" w:rsidRPr="003E2CDC" w:rsidRDefault="00F201F7" w:rsidP="003E2CDC">
                            <w:pPr>
                              <w:pStyle w:val="BulletList"/>
                              <w:rPr>
                                <w:bCs/>
                              </w:rPr>
                            </w:pPr>
                            <w:r w:rsidRPr="003E2CDC">
                              <w:t xml:space="preserve">For insured health plans, the issuer of the health insurance policy is required to pay the </w:t>
                            </w:r>
                            <w:r w:rsidRPr="003E2CDC">
                              <w:t>fees.</w:t>
                            </w:r>
                          </w:p>
                          <w:p w:rsidR="003E2CDC" w:rsidRPr="003E2CDC" w:rsidRDefault="00F201F7" w:rsidP="003E2CDC">
                            <w:pPr>
                              <w:pStyle w:val="BulletList"/>
                              <w:rPr>
                                <w:bCs/>
                              </w:rPr>
                            </w:pPr>
                            <w:r w:rsidRPr="003E2CDC">
                              <w:t>For self-insured health plans, the fees are to be paid by the plan sponsor.</w:t>
                            </w:r>
                          </w:p>
                          <w:p w:rsidR="003E2CDC" w:rsidRDefault="00F201F7" w:rsidP="003E2CDC">
                            <w:pPr>
                              <w:pStyle w:val="2Header"/>
                            </w:pPr>
                            <w:r>
                              <w:t>What’s Next?</w:t>
                            </w:r>
                          </w:p>
                          <w:p w:rsidR="009C336C" w:rsidRDefault="00F201F7" w:rsidP="003E2CDC">
                            <w:pPr>
                              <w:pStyle w:val="Body"/>
                            </w:pPr>
                            <w:r>
                              <w:t xml:space="preserve">PCORI fees are reported and paid annually using IRS Form 720 (Quarterly Federal Excise Tax Return). These fees are due by July 31 of the year following the last </w:t>
                            </w:r>
                            <w:r>
                              <w:t xml:space="preserve">day of the plan year. This means that, for plan years ending in 2019, the PCORI fees are due by July 31, 2020.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width:168pt;height:315pt;margin-top:294.2pt;margin-left:182.85pt;mso-height-percent:0;mso-height-relative:margin;mso-position-horizontal-relative:margin;mso-width-percent:0;mso-width-relative:margin;mso-wrap-distance-bottom:0;mso-wrap-distance-left:9pt;mso-wrap-distance-right:9pt;mso-wrap-distance-top:0;mso-wrap-style:square;position:absolute;visibility:visible;v-text-anchor:top;z-index:251674624" filled="f" stroked="f" strokeweight="0.5pt">
                <v:textbox inset="0,,0">
                  <w:txbxContent>
                    <w:p w:rsidR="003E2CDC" w:rsidRPr="003E2CDC" w:rsidP="003E2CDC" w14:paraId="7627E9BC" w14:textId="77777777">
                      <w:pPr>
                        <w:pStyle w:val="2Header"/>
                      </w:pPr>
                      <w:r w:rsidRPr="003E2CDC">
                        <w:t>Who Must Pay the PCORI Fees?</w:t>
                      </w:r>
                    </w:p>
                    <w:p w:rsidR="003E2CDC" w:rsidRPr="003E2CDC" w:rsidP="003E2CDC" w14:paraId="743EC103" w14:textId="77777777">
                      <w:pPr>
                        <w:pStyle w:val="Body"/>
                      </w:pPr>
                      <w:r w:rsidRPr="003E2CDC">
                        <w:t>The entity responsible for paying the PCORI fees depends on whether the plan is insured or self-insured.</w:t>
                      </w:r>
                    </w:p>
                    <w:p w:rsidR="003E2CDC" w:rsidRPr="003E2CDC" w:rsidP="003E2CDC" w14:paraId="267F89B3" w14:textId="77777777">
                      <w:pPr>
                        <w:pStyle w:val="BulletList"/>
                        <w:rPr>
                          <w:bCs/>
                        </w:rPr>
                      </w:pPr>
                      <w:r w:rsidRPr="003E2CDC">
                        <w:t>For insured health plans, the issuer of the health insurance policy is required to pay the fees.</w:t>
                      </w:r>
                    </w:p>
                    <w:p w:rsidR="003E2CDC" w:rsidRPr="003E2CDC" w:rsidP="003E2CDC" w14:paraId="05D26A61" w14:textId="77777777">
                      <w:pPr>
                        <w:pStyle w:val="BulletList"/>
                        <w:rPr>
                          <w:bCs/>
                        </w:rPr>
                      </w:pPr>
                      <w:r w:rsidRPr="003E2CDC">
                        <w:t>For self-insured health plans, the fees are to be paid by the plan sponsor.</w:t>
                      </w:r>
                    </w:p>
                    <w:p w:rsidR="003E2CDC" w:rsidP="003E2CDC" w14:paraId="7447B040" w14:textId="77777777">
                      <w:pPr>
                        <w:pStyle w:val="2Header"/>
                      </w:pPr>
                      <w:r>
                        <w:t>What’s Next?</w:t>
                      </w:r>
                    </w:p>
                    <w:p w:rsidR="009C336C" w:rsidP="003E2CDC" w14:paraId="7D417D1C" w14:textId="5933D26F">
                      <w:pPr>
                        <w:pStyle w:val="Body"/>
                      </w:pPr>
                      <w:r>
                        <w:t xml:space="preserve">PCORI fees are reported and paid annually using IRS Form 720 (Quarterly Federal Excise Tax Return). These fees are due by July 31 of the year following the last day of the plan year. This means that, for plan years ending in 2019, the PCORI fees are due by July 31, 2020. </w:t>
                      </w:r>
                    </w:p>
                  </w:txbxContent>
                </v:textbox>
                <w10:wrap anchorx="margin"/>
              </v:shape>
            </w:pict>
          </mc:Fallback>
        </mc:AlternateContent>
      </w:r>
      <w:r w:rsidR="00C13860" w:rsidRPr="00D001DF">
        <w:rPr>
          <w:noProof/>
        </w:rPr>
        <mc:AlternateContent>
          <mc:Choice Requires="wps">
            <w:drawing>
              <wp:anchor distT="0" distB="0" distL="114300" distR="114300" simplePos="0" relativeHeight="251660288" behindDoc="0" locked="0" layoutInCell="1" allowOverlap="1">
                <wp:simplePos x="0" y="0"/>
                <wp:positionH relativeFrom="margin">
                  <wp:posOffset>998220</wp:posOffset>
                </wp:positionH>
                <wp:positionV relativeFrom="page">
                  <wp:posOffset>9124950</wp:posOffset>
                </wp:positionV>
                <wp:extent cx="2329815" cy="73596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2329815" cy="735965"/>
                        </a:xfrm>
                        <a:prstGeom prst="rect">
                          <a:avLst/>
                        </a:prstGeom>
                        <a:noFill/>
                        <a:ln w="6350">
                          <a:noFill/>
                        </a:ln>
                      </wps:spPr>
                      <wps:txbx>
                        <w:txbxContent>
                          <w:p w:rsidR="00CB25AA" w:rsidRPr="00C13860" w:rsidRDefault="00F201F7" w:rsidP="00F90E5E">
                            <w:pPr>
                              <w:spacing w:after="0" w:line="240" w:lineRule="auto"/>
                              <w:jc w:val="center"/>
                              <w:rPr>
                                <w:rFonts w:cstheme="minorHAnsi"/>
                                <w:sz w:val="20"/>
                                <w:szCs w:val="20"/>
                              </w:rPr>
                            </w:pPr>
                            <w:r w:rsidRPr="00C13860">
                              <w:rPr>
                                <w:rFonts w:cstheme="minorHAnsi"/>
                                <w:sz w:val="20"/>
                                <w:szCs w:val="20"/>
                              </w:rPr>
                              <w:t>Provided by</w:t>
                            </w:r>
                          </w:p>
                          <w:p w:rsidR="00CB25AA" w:rsidRPr="00C13860" w:rsidRDefault="00F201F7" w:rsidP="00F90E5E">
                            <w:pPr>
                              <w:spacing w:after="0" w:line="240" w:lineRule="auto"/>
                              <w:jc w:val="center"/>
                              <w:rPr>
                                <w:rFonts w:cstheme="minorHAnsi"/>
                                <w:sz w:val="20"/>
                                <w:szCs w:val="20"/>
                              </w:rPr>
                            </w:pPr>
                            <w:r w:rsidRPr="00C13860">
                              <w:rPr>
                                <w:rFonts w:cstheme="minorHAnsi"/>
                                <w:sz w:val="20"/>
                                <w:szCs w:val="20"/>
                              </w:rPr>
                              <w:t>The Richards Group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width:183.45pt;height:57.95pt;margin-top:718.5pt;margin-left:78.6pt;mso-height-percent:0;mso-height-relative:margin;mso-position-horizontal-relative:margin;mso-position-vertical-relative:page;mso-width-percent:0;mso-width-relative:margin;mso-wrap-distance-bottom:0;mso-wrap-distance-left:9pt;mso-wrap-distance-right:9pt;mso-wrap-distance-top:0;position:absolute;v-text-anchor:top;z-index:251659264" filled="f" fillcolor="this" stroked="f" strokeweight="0.5pt">
                <v:textbox>
                  <w:txbxContent>
                    <w:p w:rsidR="00CB25AA" w:rsidRPr="00C13860" w:rsidP="00F90E5E" w14:paraId="27B23193" w14:textId="77777777">
                      <w:pPr>
                        <w:spacing w:after="0" w:line="240" w:lineRule="auto"/>
                        <w:jc w:val="center"/>
                        <w:rPr>
                          <w:rFonts w:cstheme="minorHAnsi"/>
                          <w:sz w:val="20"/>
                          <w:szCs w:val="20"/>
                        </w:rPr>
                      </w:pPr>
                      <w:r w:rsidRPr="00C13860">
                        <w:rPr>
                          <w:rFonts w:cstheme="minorHAnsi"/>
                          <w:sz w:val="20"/>
                          <w:szCs w:val="20"/>
                        </w:rPr>
                        <w:t>Provided by</w:t>
                      </w:r>
                    </w:p>
                    <w:p w:rsidR="00CB25AA" w:rsidRPr="00C13860" w:rsidP="00F90E5E" w14:paraId="7A24A1E0" w14:textId="77777777">
                      <w:pPr>
                        <w:spacing w:after="0" w:line="240" w:lineRule="auto"/>
                        <w:jc w:val="center"/>
                        <w:rPr>
                          <w:rFonts w:cstheme="minorHAnsi"/>
                          <w:sz w:val="20"/>
                          <w:szCs w:val="20"/>
                        </w:rPr>
                      </w:pPr>
                      <w:r w:rsidRPr="00C13860">
                        <w:rPr>
                          <w:rFonts w:cstheme="minorHAnsi"/>
                          <w:sz w:val="20"/>
                          <w:szCs w:val="20"/>
                        </w:rPr>
                        <w:t>The Richards Group</w:t>
                      </w:r>
                    </w:p>
                  </w:txbxContent>
                </v:textbox>
                <w10:wrap anchorx="margin"/>
              </v:shape>
            </w:pict>
          </mc:Fallback>
        </mc:AlternateContent>
      </w:r>
      <w:r w:rsidR="00A1062C">
        <w:rPr>
          <w:noProof/>
        </w:rPr>
        <mc:AlternateContent>
          <mc:Choice Requires="wps">
            <w:drawing>
              <wp:anchor distT="0" distB="0" distL="114300" distR="114300" simplePos="0" relativeHeight="251675648" behindDoc="0" locked="0" layoutInCell="1" allowOverlap="1">
                <wp:simplePos x="0" y="0"/>
                <wp:positionH relativeFrom="margin">
                  <wp:posOffset>-2277961</wp:posOffset>
                </wp:positionH>
                <wp:positionV relativeFrom="page">
                  <wp:posOffset>4506686</wp:posOffset>
                </wp:positionV>
                <wp:extent cx="2705100" cy="487045"/>
                <wp:effectExtent l="4127" t="14923" r="4128" b="4127"/>
                <wp:wrapNone/>
                <wp:docPr id="2" name="Text Box 2"/>
                <wp:cNvGraphicFramePr/>
                <a:graphic xmlns:a="http://schemas.openxmlformats.org/drawingml/2006/main">
                  <a:graphicData uri="http://schemas.microsoft.com/office/word/2010/wordprocessingShape">
                    <wps:wsp>
                      <wps:cNvSpPr txBox="1"/>
                      <wps:spPr>
                        <a:xfrm rot="16200000">
                          <a:off x="0" y="0"/>
                          <a:ext cx="2705100" cy="487045"/>
                        </a:xfrm>
                        <a:prstGeom prst="rect">
                          <a:avLst/>
                        </a:prstGeom>
                        <a:noFill/>
                        <a:ln w="6350">
                          <a:noFill/>
                        </a:ln>
                      </wps:spPr>
                      <wps:txbx>
                        <w:txbxContent>
                          <w:p w:rsidR="00A1062C" w:rsidRPr="00A1062C" w:rsidRDefault="00F201F7" w:rsidP="00A1062C">
                            <w:pPr>
                              <w:pStyle w:val="Header"/>
                              <w:jc w:val="center"/>
                              <w:rPr>
                                <w:b/>
                                <w:color w:val="FFFFFF" w:themeColor="background1"/>
                                <w:sz w:val="36"/>
                                <w:szCs w:val="36"/>
                              </w:rPr>
                            </w:pPr>
                            <w:hyperlink r:id="rId10" w:history="1">
                              <w:r w:rsidR="0084422A">
                                <w:rPr>
                                  <w:b/>
                                  <w:color w:val="FFFFFF" w:themeColor="background1"/>
                                  <w:sz w:val="36"/>
                                  <w:szCs w:val="36"/>
                                </w:rPr>
                                <w:t>FEBRU</w:t>
                              </w:r>
                              <w:r w:rsidR="00C13860">
                                <w:rPr>
                                  <w:b/>
                                  <w:color w:val="FFFFFF" w:themeColor="background1"/>
                                  <w:sz w:val="36"/>
                                  <w:szCs w:val="36"/>
                                </w:rPr>
                                <w:t>ARY</w:t>
                              </w:r>
                            </w:hyperlink>
                            <w:r w:rsidRPr="00A1062C">
                              <w:rPr>
                                <w:b/>
                                <w:color w:val="FFFFFF" w:themeColor="background1"/>
                                <w:sz w:val="36"/>
                                <w:szCs w:val="36"/>
                              </w:rPr>
                              <w:t xml:space="preserve"> 2020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width:213pt;height:38.35pt;margin-top:354.85pt;margin-left:-179.35pt;mso-height-percent:0;mso-height-relative:margin;mso-position-horizontal-relative:margin;mso-position-vertical-relative:page;mso-width-percent:0;mso-width-relative:margin;mso-wrap-distance-bottom:0;mso-wrap-distance-left:9pt;mso-wrap-distance-right:9pt;mso-wrap-distance-top:0;mso-wrap-style:square;position:absolute;rotation:-90;visibility:visible;v-text-anchor:top;z-index:251676672" filled="f" stroked="f" strokeweight="0.5pt">
                <v:textbox inset="0,,0">
                  <w:txbxContent>
                    <w:p w:rsidR="00A1062C" w:rsidRPr="00A1062C" w:rsidP="00A1062C" w14:paraId="7424E1AB" w14:textId="77777777">
                      <w:pPr>
                        <w:pStyle w:val="Header"/>
                        <w:jc w:val="center"/>
                        <w:rPr>
                          <w:b/>
                          <w:color w:val="FFFFFF" w:themeColor="background1"/>
                          <w:sz w:val="36"/>
                          <w:szCs w:val="36"/>
                        </w:rPr>
                      </w:pPr>
                      <w:r>
                        <w:fldChar w:fldCharType="begin"/>
                      </w:r>
                      <w:r>
                        <w:instrText xml:space="preserve"> HYPERLINK "https://www.govinfo.gov/content/pkg/FR-2019-01-24/pdf/2019-00077.pdf" </w:instrText>
                      </w:r>
                      <w:r>
                        <w:fldChar w:fldCharType="separate"/>
                      </w:r>
                      <w:r w:rsidR="0084422A">
                        <w:rPr>
                          <w:b/>
                          <w:color w:val="FFFFFF" w:themeColor="background1"/>
                          <w:sz w:val="36"/>
                          <w:szCs w:val="36"/>
                        </w:rPr>
                        <w:t>FEBRU</w:t>
                      </w:r>
                      <w:r w:rsidR="00C13860">
                        <w:rPr>
                          <w:b/>
                          <w:color w:val="FFFFFF" w:themeColor="background1"/>
                          <w:sz w:val="36"/>
                          <w:szCs w:val="36"/>
                        </w:rPr>
                        <w:t>ARY</w:t>
                      </w:r>
                      <w:r>
                        <w:fldChar w:fldCharType="end"/>
                      </w:r>
                      <w:r w:rsidRPr="00A1062C">
                        <w:rPr>
                          <w:b/>
                          <w:color w:val="FFFFFF" w:themeColor="background1"/>
                          <w:sz w:val="36"/>
                          <w:szCs w:val="36"/>
                        </w:rPr>
                        <w:t xml:space="preserve"> 2020</w:t>
                      </w:r>
                    </w:p>
                  </w:txbxContent>
                </v:textbox>
                <w10:wrap anchorx="margin"/>
              </v:shape>
            </w:pict>
          </mc:Fallback>
        </mc:AlternateContent>
      </w:r>
      <w:r w:rsidR="000A22E5" w:rsidRPr="008D08A1">
        <w:rPr>
          <w:noProof/>
        </w:rPr>
        <mc:AlternateContent>
          <mc:Choice Requires="wps">
            <w:drawing>
              <wp:anchor distT="0" distB="0" distL="114300" distR="114300" simplePos="0" relativeHeight="251661312" behindDoc="1" locked="0" layoutInCell="1" allowOverlap="1">
                <wp:simplePos x="0" y="0"/>
                <wp:positionH relativeFrom="leftMargin">
                  <wp:posOffset>258283</wp:posOffset>
                </wp:positionH>
                <wp:positionV relativeFrom="page">
                  <wp:posOffset>9645015</wp:posOffset>
                </wp:positionV>
                <wp:extent cx="2071370" cy="2101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rsidR="000A22E5" w:rsidRPr="000A22E5" w:rsidRDefault="00F201F7" w:rsidP="000A22E5">
                            <w:pPr>
                              <w:jc w:val="center"/>
                              <w:rPr>
                                <w:rFonts w:ascii="Arial" w:hAnsi="Arial" w:cs="Arial"/>
                                <w:color w:val="FFFFFF" w:themeColor="background1"/>
                                <w:sz w:val="16"/>
                                <w:szCs w:val="16"/>
                              </w:rPr>
                            </w:pPr>
                            <w:r w:rsidRPr="000A22E5">
                              <w:rPr>
                                <w:rFonts w:ascii="Arial" w:hAnsi="Arial" w:cs="Arial"/>
                                <w:color w:val="FFFFFF" w:themeColor="background1"/>
                                <w:sz w:val="16"/>
                                <w:szCs w:val="16"/>
                              </w:rPr>
                              <w:t>© 20</w:t>
                            </w:r>
                            <w:r w:rsidR="0084422A">
                              <w:rPr>
                                <w:rFonts w:ascii="Arial" w:hAnsi="Arial" w:cs="Arial"/>
                                <w:color w:val="FFFFFF" w:themeColor="background1"/>
                                <w:sz w:val="16"/>
                                <w:szCs w:val="16"/>
                              </w:rPr>
                              <w:t>20</w:t>
                            </w:r>
                            <w:r w:rsidRPr="000A22E5">
                              <w:rPr>
                                <w:rFonts w:ascii="Arial" w:hAnsi="Arial" w:cs="Arial"/>
                                <w:color w:val="FFFFFF" w:themeColor="background1"/>
                                <w:sz w:val="16"/>
                                <w:szCs w:val="16"/>
                              </w:rPr>
                              <w:t xml:space="preserve"> Zywave, Inc. All rights reserved</w:t>
                            </w:r>
                            <w:r w:rsidR="00474982">
                              <w:rPr>
                                <w:rFonts w:ascii="Arial" w:hAnsi="Arial" w:cs="Arial"/>
                                <w:color w:val="FFFFFF" w:themeColor="background1"/>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63.1pt;height:16.55pt;margin-top:759.45pt;margin-left:20.35pt;mso-height-percent:0;mso-height-relative:margin;mso-position-horizontal-relative:left-margin-area;mso-position-vertical-relative:page;mso-width-percent:0;mso-width-relative:margin;mso-wrap-distance-bottom:0;mso-wrap-distance-left:9pt;mso-wrap-distance-right:9pt;mso-wrap-distance-top:0;mso-wrap-style:square;position:absolute;visibility:visible;v-text-anchor:top;z-index:-251654144" filled="f" stroked="f" strokeweight="0.5pt">
                <v:textbox>
                  <w:txbxContent>
                    <w:p w:rsidR="000A22E5" w:rsidRPr="000A22E5" w:rsidP="000A22E5" w14:paraId="79BD1B51" w14:textId="77777777">
                      <w:pPr>
                        <w:jc w:val="center"/>
                        <w:rPr>
                          <w:rFonts w:ascii="Arial" w:hAnsi="Arial" w:cs="Arial"/>
                          <w:color w:val="FFFFFF" w:themeColor="background1"/>
                          <w:sz w:val="16"/>
                          <w:szCs w:val="16"/>
                        </w:rPr>
                      </w:pPr>
                      <w:r w:rsidRPr="000A22E5">
                        <w:rPr>
                          <w:rFonts w:ascii="Arial" w:hAnsi="Arial" w:cs="Arial"/>
                          <w:color w:val="FFFFFF" w:themeColor="background1"/>
                          <w:sz w:val="16"/>
                          <w:szCs w:val="16"/>
                        </w:rPr>
                        <w:t>© 20</w:t>
                      </w:r>
                      <w:r w:rsidR="0084422A">
                        <w:rPr>
                          <w:rFonts w:ascii="Arial" w:hAnsi="Arial" w:cs="Arial"/>
                          <w:color w:val="FFFFFF" w:themeColor="background1"/>
                          <w:sz w:val="16"/>
                          <w:szCs w:val="16"/>
                        </w:rPr>
                        <w:t>20</w:t>
                      </w:r>
                      <w:r w:rsidRPr="000A22E5">
                        <w:rPr>
                          <w:rFonts w:ascii="Arial" w:hAnsi="Arial" w:cs="Arial"/>
                          <w:color w:val="FFFFFF" w:themeColor="background1"/>
                          <w:sz w:val="16"/>
                          <w:szCs w:val="16"/>
                        </w:rPr>
                        <w:t xml:space="preserve"> Zywave, Inc. All rights reserved</w:t>
                      </w:r>
                      <w:r w:rsidR="00474982">
                        <w:rPr>
                          <w:rFonts w:ascii="Arial" w:hAnsi="Arial" w:cs="Arial"/>
                          <w:color w:val="FFFFFF" w:themeColor="background1"/>
                          <w:sz w:val="16"/>
                          <w:szCs w:val="16"/>
                        </w:rPr>
                        <w:t>.</w:t>
                      </w:r>
                    </w:p>
                  </w:txbxContent>
                </v:textbox>
              </v:shape>
            </w:pict>
          </mc:Fallback>
        </mc:AlternateContent>
      </w:r>
    </w:p>
    <w:sectPr w:rsidR="0096300C" w:rsidRPr="00D001DF" w:rsidSect="006B7630">
      <w:headerReference w:type="default" r:id="rId11"/>
      <w:type w:val="continuous"/>
      <w:pgSz w:w="12240" w:h="15840"/>
      <w:pgMar w:top="432" w:right="720" w:bottom="1440" w:left="4608" w:header="720" w:footer="720" w:gutter="0"/>
      <w:cols w:num="2" w:space="24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F201F7">
      <w:pPr>
        <w:spacing w:after="0" w:line="240" w:lineRule="auto"/>
      </w:pPr>
      <w:r>
        <w:separator/>
      </w:r>
    </w:p>
  </w:endnote>
  <w:endnote w:type="continuationSeparator" w:id="0">
    <w:p w:rsidR="00000000" w:rsidRDefault="00F20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F201F7">
      <w:pPr>
        <w:spacing w:after="0" w:line="240" w:lineRule="auto"/>
      </w:pPr>
      <w:r>
        <w:separator/>
      </w:r>
    </w:p>
  </w:footnote>
  <w:footnote w:type="continuationSeparator" w:id="0">
    <w:p w:rsidR="00000000" w:rsidRDefault="00F201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0E14" w:rsidRDefault="00F201F7">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49876" name="page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4378"/>
    <w:multiLevelType w:val="hybridMultilevel"/>
    <w:tmpl w:val="4A6CA8A0"/>
    <w:lvl w:ilvl="0" w:tplc="749E589E">
      <w:start w:val="1"/>
      <w:numFmt w:val="bullet"/>
      <w:lvlText w:val=""/>
      <w:lvlJc w:val="left"/>
      <w:pPr>
        <w:ind w:left="720" w:hanging="360"/>
      </w:pPr>
      <w:rPr>
        <w:rFonts w:ascii="Symbol" w:hAnsi="Symbol" w:hint="default"/>
      </w:rPr>
    </w:lvl>
    <w:lvl w:ilvl="1" w:tplc="F9969CA0" w:tentative="1">
      <w:start w:val="1"/>
      <w:numFmt w:val="bullet"/>
      <w:lvlText w:val="o"/>
      <w:lvlJc w:val="left"/>
      <w:pPr>
        <w:ind w:left="1440" w:hanging="360"/>
      </w:pPr>
      <w:rPr>
        <w:rFonts w:ascii="Courier New" w:hAnsi="Courier New" w:cs="Courier New" w:hint="default"/>
      </w:rPr>
    </w:lvl>
    <w:lvl w:ilvl="2" w:tplc="1F869DD6" w:tentative="1">
      <w:start w:val="1"/>
      <w:numFmt w:val="bullet"/>
      <w:lvlText w:val=""/>
      <w:lvlJc w:val="left"/>
      <w:pPr>
        <w:ind w:left="2160" w:hanging="360"/>
      </w:pPr>
      <w:rPr>
        <w:rFonts w:ascii="Wingdings" w:hAnsi="Wingdings" w:hint="default"/>
      </w:rPr>
    </w:lvl>
    <w:lvl w:ilvl="3" w:tplc="9FB4428A" w:tentative="1">
      <w:start w:val="1"/>
      <w:numFmt w:val="bullet"/>
      <w:lvlText w:val=""/>
      <w:lvlJc w:val="left"/>
      <w:pPr>
        <w:ind w:left="2880" w:hanging="360"/>
      </w:pPr>
      <w:rPr>
        <w:rFonts w:ascii="Symbol" w:hAnsi="Symbol" w:hint="default"/>
      </w:rPr>
    </w:lvl>
    <w:lvl w:ilvl="4" w:tplc="20A0F276" w:tentative="1">
      <w:start w:val="1"/>
      <w:numFmt w:val="bullet"/>
      <w:lvlText w:val="o"/>
      <w:lvlJc w:val="left"/>
      <w:pPr>
        <w:ind w:left="3600" w:hanging="360"/>
      </w:pPr>
      <w:rPr>
        <w:rFonts w:ascii="Courier New" w:hAnsi="Courier New" w:cs="Courier New" w:hint="default"/>
      </w:rPr>
    </w:lvl>
    <w:lvl w:ilvl="5" w:tplc="3558D6E4" w:tentative="1">
      <w:start w:val="1"/>
      <w:numFmt w:val="bullet"/>
      <w:lvlText w:val=""/>
      <w:lvlJc w:val="left"/>
      <w:pPr>
        <w:ind w:left="4320" w:hanging="360"/>
      </w:pPr>
      <w:rPr>
        <w:rFonts w:ascii="Wingdings" w:hAnsi="Wingdings" w:hint="default"/>
      </w:rPr>
    </w:lvl>
    <w:lvl w:ilvl="6" w:tplc="5FBC127C" w:tentative="1">
      <w:start w:val="1"/>
      <w:numFmt w:val="bullet"/>
      <w:lvlText w:val=""/>
      <w:lvlJc w:val="left"/>
      <w:pPr>
        <w:ind w:left="5040" w:hanging="360"/>
      </w:pPr>
      <w:rPr>
        <w:rFonts w:ascii="Symbol" w:hAnsi="Symbol" w:hint="default"/>
      </w:rPr>
    </w:lvl>
    <w:lvl w:ilvl="7" w:tplc="6F6ACF90" w:tentative="1">
      <w:start w:val="1"/>
      <w:numFmt w:val="bullet"/>
      <w:lvlText w:val="o"/>
      <w:lvlJc w:val="left"/>
      <w:pPr>
        <w:ind w:left="5760" w:hanging="360"/>
      </w:pPr>
      <w:rPr>
        <w:rFonts w:ascii="Courier New" w:hAnsi="Courier New" w:cs="Courier New" w:hint="default"/>
      </w:rPr>
    </w:lvl>
    <w:lvl w:ilvl="8" w:tplc="58F06BDA" w:tentative="1">
      <w:start w:val="1"/>
      <w:numFmt w:val="bullet"/>
      <w:lvlText w:val=""/>
      <w:lvlJc w:val="left"/>
      <w:pPr>
        <w:ind w:left="6480" w:hanging="360"/>
      </w:pPr>
      <w:rPr>
        <w:rFonts w:ascii="Wingdings" w:hAnsi="Wingdings" w:hint="default"/>
      </w:rPr>
    </w:lvl>
  </w:abstractNum>
  <w:abstractNum w:abstractNumId="1" w15:restartNumberingAfterBreak="0">
    <w:nsid w:val="1C9531B8"/>
    <w:multiLevelType w:val="hybridMultilevel"/>
    <w:tmpl w:val="2FBCC732"/>
    <w:lvl w:ilvl="0" w:tplc="EF44B924">
      <w:start w:val="1"/>
      <w:numFmt w:val="bullet"/>
      <w:lvlText w:val=""/>
      <w:lvlJc w:val="left"/>
      <w:pPr>
        <w:ind w:left="720" w:hanging="360"/>
      </w:pPr>
      <w:rPr>
        <w:rFonts w:ascii="Symbol" w:hAnsi="Symbol" w:hint="default"/>
      </w:rPr>
    </w:lvl>
    <w:lvl w:ilvl="1" w:tplc="0D7A4992" w:tentative="1">
      <w:start w:val="1"/>
      <w:numFmt w:val="bullet"/>
      <w:lvlText w:val="o"/>
      <w:lvlJc w:val="left"/>
      <w:pPr>
        <w:ind w:left="1440" w:hanging="360"/>
      </w:pPr>
      <w:rPr>
        <w:rFonts w:ascii="Courier New" w:hAnsi="Courier New" w:cs="Courier New" w:hint="default"/>
      </w:rPr>
    </w:lvl>
    <w:lvl w:ilvl="2" w:tplc="C5F855AC" w:tentative="1">
      <w:start w:val="1"/>
      <w:numFmt w:val="bullet"/>
      <w:lvlText w:val=""/>
      <w:lvlJc w:val="left"/>
      <w:pPr>
        <w:ind w:left="2160" w:hanging="360"/>
      </w:pPr>
      <w:rPr>
        <w:rFonts w:ascii="Wingdings" w:hAnsi="Wingdings" w:hint="default"/>
      </w:rPr>
    </w:lvl>
    <w:lvl w:ilvl="3" w:tplc="0D6E88A8" w:tentative="1">
      <w:start w:val="1"/>
      <w:numFmt w:val="bullet"/>
      <w:lvlText w:val=""/>
      <w:lvlJc w:val="left"/>
      <w:pPr>
        <w:ind w:left="2880" w:hanging="360"/>
      </w:pPr>
      <w:rPr>
        <w:rFonts w:ascii="Symbol" w:hAnsi="Symbol" w:hint="default"/>
      </w:rPr>
    </w:lvl>
    <w:lvl w:ilvl="4" w:tplc="1426542E" w:tentative="1">
      <w:start w:val="1"/>
      <w:numFmt w:val="bullet"/>
      <w:lvlText w:val="o"/>
      <w:lvlJc w:val="left"/>
      <w:pPr>
        <w:ind w:left="3600" w:hanging="360"/>
      </w:pPr>
      <w:rPr>
        <w:rFonts w:ascii="Courier New" w:hAnsi="Courier New" w:cs="Courier New" w:hint="default"/>
      </w:rPr>
    </w:lvl>
    <w:lvl w:ilvl="5" w:tplc="02E67956" w:tentative="1">
      <w:start w:val="1"/>
      <w:numFmt w:val="bullet"/>
      <w:lvlText w:val=""/>
      <w:lvlJc w:val="left"/>
      <w:pPr>
        <w:ind w:left="4320" w:hanging="360"/>
      </w:pPr>
      <w:rPr>
        <w:rFonts w:ascii="Wingdings" w:hAnsi="Wingdings" w:hint="default"/>
      </w:rPr>
    </w:lvl>
    <w:lvl w:ilvl="6" w:tplc="5A38A11A" w:tentative="1">
      <w:start w:val="1"/>
      <w:numFmt w:val="bullet"/>
      <w:lvlText w:val=""/>
      <w:lvlJc w:val="left"/>
      <w:pPr>
        <w:ind w:left="5040" w:hanging="360"/>
      </w:pPr>
      <w:rPr>
        <w:rFonts w:ascii="Symbol" w:hAnsi="Symbol" w:hint="default"/>
      </w:rPr>
    </w:lvl>
    <w:lvl w:ilvl="7" w:tplc="EFBEF66C" w:tentative="1">
      <w:start w:val="1"/>
      <w:numFmt w:val="bullet"/>
      <w:lvlText w:val="o"/>
      <w:lvlJc w:val="left"/>
      <w:pPr>
        <w:ind w:left="5760" w:hanging="360"/>
      </w:pPr>
      <w:rPr>
        <w:rFonts w:ascii="Courier New" w:hAnsi="Courier New" w:cs="Courier New" w:hint="default"/>
      </w:rPr>
    </w:lvl>
    <w:lvl w:ilvl="8" w:tplc="39524B58" w:tentative="1">
      <w:start w:val="1"/>
      <w:numFmt w:val="bullet"/>
      <w:lvlText w:val=""/>
      <w:lvlJc w:val="left"/>
      <w:pPr>
        <w:ind w:left="6480" w:hanging="360"/>
      </w:pPr>
      <w:rPr>
        <w:rFonts w:ascii="Wingdings" w:hAnsi="Wingdings" w:hint="default"/>
      </w:rPr>
    </w:lvl>
  </w:abstractNum>
  <w:abstractNum w:abstractNumId="2" w15:restartNumberingAfterBreak="0">
    <w:nsid w:val="1DC95092"/>
    <w:multiLevelType w:val="hybridMultilevel"/>
    <w:tmpl w:val="8F4CFAF2"/>
    <w:lvl w:ilvl="0" w:tplc="60D07010">
      <w:start w:val="1"/>
      <w:numFmt w:val="bullet"/>
      <w:pStyle w:val="BulletList"/>
      <w:lvlText w:val=""/>
      <w:lvlJc w:val="left"/>
      <w:pPr>
        <w:ind w:left="720" w:hanging="360"/>
      </w:pPr>
      <w:rPr>
        <w:rFonts w:ascii="Symbol" w:hAnsi="Symbol" w:hint="default"/>
      </w:rPr>
    </w:lvl>
    <w:lvl w:ilvl="1" w:tplc="B9E86ED8" w:tentative="1">
      <w:start w:val="1"/>
      <w:numFmt w:val="bullet"/>
      <w:lvlText w:val="o"/>
      <w:lvlJc w:val="left"/>
      <w:pPr>
        <w:ind w:left="1440" w:hanging="360"/>
      </w:pPr>
      <w:rPr>
        <w:rFonts w:ascii="Courier New" w:hAnsi="Courier New" w:cs="Courier New" w:hint="default"/>
      </w:rPr>
    </w:lvl>
    <w:lvl w:ilvl="2" w:tplc="F5C04EB0" w:tentative="1">
      <w:start w:val="1"/>
      <w:numFmt w:val="bullet"/>
      <w:lvlText w:val=""/>
      <w:lvlJc w:val="left"/>
      <w:pPr>
        <w:ind w:left="2160" w:hanging="360"/>
      </w:pPr>
      <w:rPr>
        <w:rFonts w:ascii="Wingdings" w:hAnsi="Wingdings" w:hint="default"/>
      </w:rPr>
    </w:lvl>
    <w:lvl w:ilvl="3" w:tplc="3FD2CEEC" w:tentative="1">
      <w:start w:val="1"/>
      <w:numFmt w:val="bullet"/>
      <w:lvlText w:val=""/>
      <w:lvlJc w:val="left"/>
      <w:pPr>
        <w:ind w:left="2880" w:hanging="360"/>
      </w:pPr>
      <w:rPr>
        <w:rFonts w:ascii="Symbol" w:hAnsi="Symbol" w:hint="default"/>
      </w:rPr>
    </w:lvl>
    <w:lvl w:ilvl="4" w:tplc="E8C8E574" w:tentative="1">
      <w:start w:val="1"/>
      <w:numFmt w:val="bullet"/>
      <w:lvlText w:val="o"/>
      <w:lvlJc w:val="left"/>
      <w:pPr>
        <w:ind w:left="3600" w:hanging="360"/>
      </w:pPr>
      <w:rPr>
        <w:rFonts w:ascii="Courier New" w:hAnsi="Courier New" w:cs="Courier New" w:hint="default"/>
      </w:rPr>
    </w:lvl>
    <w:lvl w:ilvl="5" w:tplc="235E1CC8" w:tentative="1">
      <w:start w:val="1"/>
      <w:numFmt w:val="bullet"/>
      <w:lvlText w:val=""/>
      <w:lvlJc w:val="left"/>
      <w:pPr>
        <w:ind w:left="4320" w:hanging="360"/>
      </w:pPr>
      <w:rPr>
        <w:rFonts w:ascii="Wingdings" w:hAnsi="Wingdings" w:hint="default"/>
      </w:rPr>
    </w:lvl>
    <w:lvl w:ilvl="6" w:tplc="7DCC92C8" w:tentative="1">
      <w:start w:val="1"/>
      <w:numFmt w:val="bullet"/>
      <w:lvlText w:val=""/>
      <w:lvlJc w:val="left"/>
      <w:pPr>
        <w:ind w:left="5040" w:hanging="360"/>
      </w:pPr>
      <w:rPr>
        <w:rFonts w:ascii="Symbol" w:hAnsi="Symbol" w:hint="default"/>
      </w:rPr>
    </w:lvl>
    <w:lvl w:ilvl="7" w:tplc="81F044AE" w:tentative="1">
      <w:start w:val="1"/>
      <w:numFmt w:val="bullet"/>
      <w:lvlText w:val="o"/>
      <w:lvlJc w:val="left"/>
      <w:pPr>
        <w:ind w:left="5760" w:hanging="360"/>
      </w:pPr>
      <w:rPr>
        <w:rFonts w:ascii="Courier New" w:hAnsi="Courier New" w:cs="Courier New" w:hint="default"/>
      </w:rPr>
    </w:lvl>
    <w:lvl w:ilvl="8" w:tplc="12801894" w:tentative="1">
      <w:start w:val="1"/>
      <w:numFmt w:val="bullet"/>
      <w:lvlText w:val=""/>
      <w:lvlJc w:val="left"/>
      <w:pPr>
        <w:ind w:left="6480" w:hanging="360"/>
      </w:pPr>
      <w:rPr>
        <w:rFonts w:ascii="Wingdings" w:hAnsi="Wingdings" w:hint="default"/>
      </w:rPr>
    </w:lvl>
  </w:abstractNum>
  <w:abstractNum w:abstractNumId="3" w15:restartNumberingAfterBreak="0">
    <w:nsid w:val="21D634D5"/>
    <w:multiLevelType w:val="hybridMultilevel"/>
    <w:tmpl w:val="27D69602"/>
    <w:lvl w:ilvl="0" w:tplc="6520EBCE">
      <w:start w:val="1"/>
      <w:numFmt w:val="bullet"/>
      <w:lvlText w:val=""/>
      <w:lvlJc w:val="left"/>
      <w:pPr>
        <w:ind w:left="720" w:hanging="360"/>
      </w:pPr>
      <w:rPr>
        <w:rFonts w:ascii="Symbol" w:hAnsi="Symbol" w:hint="default"/>
      </w:rPr>
    </w:lvl>
    <w:lvl w:ilvl="1" w:tplc="FB72D602" w:tentative="1">
      <w:start w:val="1"/>
      <w:numFmt w:val="bullet"/>
      <w:lvlText w:val="o"/>
      <w:lvlJc w:val="left"/>
      <w:pPr>
        <w:ind w:left="1440" w:hanging="360"/>
      </w:pPr>
      <w:rPr>
        <w:rFonts w:ascii="Courier New" w:hAnsi="Courier New" w:cs="Courier New" w:hint="default"/>
      </w:rPr>
    </w:lvl>
    <w:lvl w:ilvl="2" w:tplc="B708497E" w:tentative="1">
      <w:start w:val="1"/>
      <w:numFmt w:val="bullet"/>
      <w:lvlText w:val=""/>
      <w:lvlJc w:val="left"/>
      <w:pPr>
        <w:ind w:left="2160" w:hanging="360"/>
      </w:pPr>
      <w:rPr>
        <w:rFonts w:ascii="Wingdings" w:hAnsi="Wingdings" w:hint="default"/>
      </w:rPr>
    </w:lvl>
    <w:lvl w:ilvl="3" w:tplc="EB329384" w:tentative="1">
      <w:start w:val="1"/>
      <w:numFmt w:val="bullet"/>
      <w:lvlText w:val=""/>
      <w:lvlJc w:val="left"/>
      <w:pPr>
        <w:ind w:left="2880" w:hanging="360"/>
      </w:pPr>
      <w:rPr>
        <w:rFonts w:ascii="Symbol" w:hAnsi="Symbol" w:hint="default"/>
      </w:rPr>
    </w:lvl>
    <w:lvl w:ilvl="4" w:tplc="9E92AD7A" w:tentative="1">
      <w:start w:val="1"/>
      <w:numFmt w:val="bullet"/>
      <w:lvlText w:val="o"/>
      <w:lvlJc w:val="left"/>
      <w:pPr>
        <w:ind w:left="3600" w:hanging="360"/>
      </w:pPr>
      <w:rPr>
        <w:rFonts w:ascii="Courier New" w:hAnsi="Courier New" w:cs="Courier New" w:hint="default"/>
      </w:rPr>
    </w:lvl>
    <w:lvl w:ilvl="5" w:tplc="CA54AEB8" w:tentative="1">
      <w:start w:val="1"/>
      <w:numFmt w:val="bullet"/>
      <w:lvlText w:val=""/>
      <w:lvlJc w:val="left"/>
      <w:pPr>
        <w:ind w:left="4320" w:hanging="360"/>
      </w:pPr>
      <w:rPr>
        <w:rFonts w:ascii="Wingdings" w:hAnsi="Wingdings" w:hint="default"/>
      </w:rPr>
    </w:lvl>
    <w:lvl w:ilvl="6" w:tplc="620E51C2" w:tentative="1">
      <w:start w:val="1"/>
      <w:numFmt w:val="bullet"/>
      <w:lvlText w:val=""/>
      <w:lvlJc w:val="left"/>
      <w:pPr>
        <w:ind w:left="5040" w:hanging="360"/>
      </w:pPr>
      <w:rPr>
        <w:rFonts w:ascii="Symbol" w:hAnsi="Symbol" w:hint="default"/>
      </w:rPr>
    </w:lvl>
    <w:lvl w:ilvl="7" w:tplc="DE88935E" w:tentative="1">
      <w:start w:val="1"/>
      <w:numFmt w:val="bullet"/>
      <w:lvlText w:val="o"/>
      <w:lvlJc w:val="left"/>
      <w:pPr>
        <w:ind w:left="5760" w:hanging="360"/>
      </w:pPr>
      <w:rPr>
        <w:rFonts w:ascii="Courier New" w:hAnsi="Courier New" w:cs="Courier New" w:hint="default"/>
      </w:rPr>
    </w:lvl>
    <w:lvl w:ilvl="8" w:tplc="01080364" w:tentative="1">
      <w:start w:val="1"/>
      <w:numFmt w:val="bullet"/>
      <w:lvlText w:val=""/>
      <w:lvlJc w:val="left"/>
      <w:pPr>
        <w:ind w:left="6480" w:hanging="360"/>
      </w:pPr>
      <w:rPr>
        <w:rFonts w:ascii="Wingdings" w:hAnsi="Wingdings" w:hint="default"/>
      </w:rPr>
    </w:lvl>
  </w:abstractNum>
  <w:abstractNum w:abstractNumId="4" w15:restartNumberingAfterBreak="0">
    <w:nsid w:val="22D325C5"/>
    <w:multiLevelType w:val="hybridMultilevel"/>
    <w:tmpl w:val="012433AA"/>
    <w:lvl w:ilvl="0" w:tplc="ECD666BC">
      <w:start w:val="1"/>
      <w:numFmt w:val="decimal"/>
      <w:lvlText w:val="%1."/>
      <w:lvlJc w:val="left"/>
      <w:pPr>
        <w:ind w:left="720" w:hanging="360"/>
      </w:pPr>
      <w:rPr>
        <w:b w:val="0"/>
      </w:rPr>
    </w:lvl>
    <w:lvl w:ilvl="1" w:tplc="DBB8CEDC" w:tentative="1">
      <w:start w:val="1"/>
      <w:numFmt w:val="lowerLetter"/>
      <w:lvlText w:val="%2."/>
      <w:lvlJc w:val="left"/>
      <w:pPr>
        <w:ind w:left="1440" w:hanging="360"/>
      </w:pPr>
    </w:lvl>
    <w:lvl w:ilvl="2" w:tplc="728011FE" w:tentative="1">
      <w:start w:val="1"/>
      <w:numFmt w:val="lowerRoman"/>
      <w:lvlText w:val="%3."/>
      <w:lvlJc w:val="right"/>
      <w:pPr>
        <w:ind w:left="2160" w:hanging="180"/>
      </w:pPr>
    </w:lvl>
    <w:lvl w:ilvl="3" w:tplc="B0845B82" w:tentative="1">
      <w:start w:val="1"/>
      <w:numFmt w:val="decimal"/>
      <w:lvlText w:val="%4."/>
      <w:lvlJc w:val="left"/>
      <w:pPr>
        <w:ind w:left="2880" w:hanging="360"/>
      </w:pPr>
    </w:lvl>
    <w:lvl w:ilvl="4" w:tplc="2116AE68" w:tentative="1">
      <w:start w:val="1"/>
      <w:numFmt w:val="lowerLetter"/>
      <w:lvlText w:val="%5."/>
      <w:lvlJc w:val="left"/>
      <w:pPr>
        <w:ind w:left="3600" w:hanging="360"/>
      </w:pPr>
    </w:lvl>
    <w:lvl w:ilvl="5" w:tplc="7C5A26C2" w:tentative="1">
      <w:start w:val="1"/>
      <w:numFmt w:val="lowerRoman"/>
      <w:lvlText w:val="%6."/>
      <w:lvlJc w:val="right"/>
      <w:pPr>
        <w:ind w:left="4320" w:hanging="180"/>
      </w:pPr>
    </w:lvl>
    <w:lvl w:ilvl="6" w:tplc="559A8AF8" w:tentative="1">
      <w:start w:val="1"/>
      <w:numFmt w:val="decimal"/>
      <w:lvlText w:val="%7."/>
      <w:lvlJc w:val="left"/>
      <w:pPr>
        <w:ind w:left="5040" w:hanging="360"/>
      </w:pPr>
    </w:lvl>
    <w:lvl w:ilvl="7" w:tplc="C376089E" w:tentative="1">
      <w:start w:val="1"/>
      <w:numFmt w:val="lowerLetter"/>
      <w:lvlText w:val="%8."/>
      <w:lvlJc w:val="left"/>
      <w:pPr>
        <w:ind w:left="5760" w:hanging="360"/>
      </w:pPr>
    </w:lvl>
    <w:lvl w:ilvl="8" w:tplc="FF2E1110" w:tentative="1">
      <w:start w:val="1"/>
      <w:numFmt w:val="lowerRoman"/>
      <w:lvlText w:val="%9."/>
      <w:lvlJc w:val="right"/>
      <w:pPr>
        <w:ind w:left="6480" w:hanging="180"/>
      </w:pPr>
    </w:lvl>
  </w:abstractNum>
  <w:abstractNum w:abstractNumId="5" w15:restartNumberingAfterBreak="0">
    <w:nsid w:val="2D0C5AEA"/>
    <w:multiLevelType w:val="hybridMultilevel"/>
    <w:tmpl w:val="A56810E2"/>
    <w:lvl w:ilvl="0" w:tplc="4482947C">
      <w:start w:val="1"/>
      <w:numFmt w:val="decimal"/>
      <w:pStyle w:val="NumberedList"/>
      <w:lvlText w:val="%1."/>
      <w:lvlJc w:val="left"/>
      <w:pPr>
        <w:ind w:left="810" w:hanging="360"/>
      </w:pPr>
      <w:rPr>
        <w:rFonts w:hint="default"/>
        <w:b/>
        <w:i w:val="0"/>
      </w:rPr>
    </w:lvl>
    <w:lvl w:ilvl="1" w:tplc="056C771E" w:tentative="1">
      <w:start w:val="1"/>
      <w:numFmt w:val="lowerLetter"/>
      <w:lvlText w:val="%2."/>
      <w:lvlJc w:val="left"/>
      <w:pPr>
        <w:ind w:left="1530" w:hanging="360"/>
      </w:pPr>
    </w:lvl>
    <w:lvl w:ilvl="2" w:tplc="37EA7EDC" w:tentative="1">
      <w:start w:val="1"/>
      <w:numFmt w:val="lowerRoman"/>
      <w:lvlText w:val="%3."/>
      <w:lvlJc w:val="right"/>
      <w:pPr>
        <w:ind w:left="2250" w:hanging="180"/>
      </w:pPr>
    </w:lvl>
    <w:lvl w:ilvl="3" w:tplc="3AECE376" w:tentative="1">
      <w:start w:val="1"/>
      <w:numFmt w:val="decimal"/>
      <w:lvlText w:val="%4."/>
      <w:lvlJc w:val="left"/>
      <w:pPr>
        <w:ind w:left="2970" w:hanging="360"/>
      </w:pPr>
    </w:lvl>
    <w:lvl w:ilvl="4" w:tplc="ADFAD204" w:tentative="1">
      <w:start w:val="1"/>
      <w:numFmt w:val="lowerLetter"/>
      <w:lvlText w:val="%5."/>
      <w:lvlJc w:val="left"/>
      <w:pPr>
        <w:ind w:left="3690" w:hanging="360"/>
      </w:pPr>
    </w:lvl>
    <w:lvl w:ilvl="5" w:tplc="7020FC36" w:tentative="1">
      <w:start w:val="1"/>
      <w:numFmt w:val="lowerRoman"/>
      <w:lvlText w:val="%6."/>
      <w:lvlJc w:val="right"/>
      <w:pPr>
        <w:ind w:left="4410" w:hanging="180"/>
      </w:pPr>
    </w:lvl>
    <w:lvl w:ilvl="6" w:tplc="3E12B8BE" w:tentative="1">
      <w:start w:val="1"/>
      <w:numFmt w:val="decimal"/>
      <w:lvlText w:val="%7."/>
      <w:lvlJc w:val="left"/>
      <w:pPr>
        <w:ind w:left="5130" w:hanging="360"/>
      </w:pPr>
    </w:lvl>
    <w:lvl w:ilvl="7" w:tplc="F35EE892" w:tentative="1">
      <w:start w:val="1"/>
      <w:numFmt w:val="lowerLetter"/>
      <w:lvlText w:val="%8."/>
      <w:lvlJc w:val="left"/>
      <w:pPr>
        <w:ind w:left="5850" w:hanging="360"/>
      </w:pPr>
    </w:lvl>
    <w:lvl w:ilvl="8" w:tplc="DDFA3C1E" w:tentative="1">
      <w:start w:val="1"/>
      <w:numFmt w:val="lowerRoman"/>
      <w:lvlText w:val="%9."/>
      <w:lvlJc w:val="right"/>
      <w:pPr>
        <w:ind w:left="6570" w:hanging="180"/>
      </w:pPr>
    </w:lvl>
  </w:abstractNum>
  <w:abstractNum w:abstractNumId="6" w15:restartNumberingAfterBreak="0">
    <w:nsid w:val="3EC41826"/>
    <w:multiLevelType w:val="hybridMultilevel"/>
    <w:tmpl w:val="9050CA3E"/>
    <w:lvl w:ilvl="0" w:tplc="B45E0444">
      <w:start w:val="3"/>
      <w:numFmt w:val="decimal"/>
      <w:lvlText w:val="%1."/>
      <w:lvlJc w:val="left"/>
      <w:pPr>
        <w:ind w:left="720" w:hanging="360"/>
      </w:pPr>
      <w:rPr>
        <w:rFonts w:hint="default"/>
        <w:b w:val="0"/>
      </w:rPr>
    </w:lvl>
    <w:lvl w:ilvl="1" w:tplc="E750991E" w:tentative="1">
      <w:start w:val="1"/>
      <w:numFmt w:val="lowerLetter"/>
      <w:lvlText w:val="%2."/>
      <w:lvlJc w:val="left"/>
      <w:pPr>
        <w:ind w:left="1440" w:hanging="360"/>
      </w:pPr>
    </w:lvl>
    <w:lvl w:ilvl="2" w:tplc="AC12BD70" w:tentative="1">
      <w:start w:val="1"/>
      <w:numFmt w:val="lowerRoman"/>
      <w:lvlText w:val="%3."/>
      <w:lvlJc w:val="right"/>
      <w:pPr>
        <w:ind w:left="2160" w:hanging="180"/>
      </w:pPr>
    </w:lvl>
    <w:lvl w:ilvl="3" w:tplc="038C6F28" w:tentative="1">
      <w:start w:val="1"/>
      <w:numFmt w:val="decimal"/>
      <w:lvlText w:val="%4."/>
      <w:lvlJc w:val="left"/>
      <w:pPr>
        <w:ind w:left="2880" w:hanging="360"/>
      </w:pPr>
    </w:lvl>
    <w:lvl w:ilvl="4" w:tplc="BABA1C46" w:tentative="1">
      <w:start w:val="1"/>
      <w:numFmt w:val="lowerLetter"/>
      <w:lvlText w:val="%5."/>
      <w:lvlJc w:val="left"/>
      <w:pPr>
        <w:ind w:left="3600" w:hanging="360"/>
      </w:pPr>
    </w:lvl>
    <w:lvl w:ilvl="5" w:tplc="0B484430" w:tentative="1">
      <w:start w:val="1"/>
      <w:numFmt w:val="lowerRoman"/>
      <w:lvlText w:val="%6."/>
      <w:lvlJc w:val="right"/>
      <w:pPr>
        <w:ind w:left="4320" w:hanging="180"/>
      </w:pPr>
    </w:lvl>
    <w:lvl w:ilvl="6" w:tplc="5DC6047E" w:tentative="1">
      <w:start w:val="1"/>
      <w:numFmt w:val="decimal"/>
      <w:lvlText w:val="%7."/>
      <w:lvlJc w:val="left"/>
      <w:pPr>
        <w:ind w:left="5040" w:hanging="360"/>
      </w:pPr>
    </w:lvl>
    <w:lvl w:ilvl="7" w:tplc="C46AAA16" w:tentative="1">
      <w:start w:val="1"/>
      <w:numFmt w:val="lowerLetter"/>
      <w:lvlText w:val="%8."/>
      <w:lvlJc w:val="left"/>
      <w:pPr>
        <w:ind w:left="5760" w:hanging="360"/>
      </w:pPr>
    </w:lvl>
    <w:lvl w:ilvl="8" w:tplc="AC3022FE" w:tentative="1">
      <w:start w:val="1"/>
      <w:numFmt w:val="lowerRoman"/>
      <w:lvlText w:val="%9."/>
      <w:lvlJc w:val="right"/>
      <w:pPr>
        <w:ind w:left="6480" w:hanging="180"/>
      </w:pPr>
    </w:lvl>
  </w:abstractNum>
  <w:abstractNum w:abstractNumId="7" w15:restartNumberingAfterBreak="0">
    <w:nsid w:val="59E20EE8"/>
    <w:multiLevelType w:val="hybridMultilevel"/>
    <w:tmpl w:val="66F43E7A"/>
    <w:lvl w:ilvl="0" w:tplc="1BCA5868">
      <w:start w:val="1"/>
      <w:numFmt w:val="bullet"/>
      <w:lvlText w:val=""/>
      <w:lvlJc w:val="left"/>
      <w:pPr>
        <w:ind w:left="720" w:hanging="360"/>
      </w:pPr>
      <w:rPr>
        <w:rFonts w:ascii="Symbol" w:hAnsi="Symbol" w:hint="default"/>
      </w:rPr>
    </w:lvl>
    <w:lvl w:ilvl="1" w:tplc="0E7AC162" w:tentative="1">
      <w:start w:val="1"/>
      <w:numFmt w:val="bullet"/>
      <w:lvlText w:val="o"/>
      <w:lvlJc w:val="left"/>
      <w:pPr>
        <w:ind w:left="1440" w:hanging="360"/>
      </w:pPr>
      <w:rPr>
        <w:rFonts w:ascii="Courier New" w:hAnsi="Courier New" w:cs="Courier New" w:hint="default"/>
      </w:rPr>
    </w:lvl>
    <w:lvl w:ilvl="2" w:tplc="66487940" w:tentative="1">
      <w:start w:val="1"/>
      <w:numFmt w:val="bullet"/>
      <w:lvlText w:val=""/>
      <w:lvlJc w:val="left"/>
      <w:pPr>
        <w:ind w:left="2160" w:hanging="360"/>
      </w:pPr>
      <w:rPr>
        <w:rFonts w:ascii="Wingdings" w:hAnsi="Wingdings" w:hint="default"/>
      </w:rPr>
    </w:lvl>
    <w:lvl w:ilvl="3" w:tplc="08E800AC" w:tentative="1">
      <w:start w:val="1"/>
      <w:numFmt w:val="bullet"/>
      <w:lvlText w:val=""/>
      <w:lvlJc w:val="left"/>
      <w:pPr>
        <w:ind w:left="2880" w:hanging="360"/>
      </w:pPr>
      <w:rPr>
        <w:rFonts w:ascii="Symbol" w:hAnsi="Symbol" w:hint="default"/>
      </w:rPr>
    </w:lvl>
    <w:lvl w:ilvl="4" w:tplc="20780AFC" w:tentative="1">
      <w:start w:val="1"/>
      <w:numFmt w:val="bullet"/>
      <w:lvlText w:val="o"/>
      <w:lvlJc w:val="left"/>
      <w:pPr>
        <w:ind w:left="3600" w:hanging="360"/>
      </w:pPr>
      <w:rPr>
        <w:rFonts w:ascii="Courier New" w:hAnsi="Courier New" w:cs="Courier New" w:hint="default"/>
      </w:rPr>
    </w:lvl>
    <w:lvl w:ilvl="5" w:tplc="C7F47748" w:tentative="1">
      <w:start w:val="1"/>
      <w:numFmt w:val="bullet"/>
      <w:lvlText w:val=""/>
      <w:lvlJc w:val="left"/>
      <w:pPr>
        <w:ind w:left="4320" w:hanging="360"/>
      </w:pPr>
      <w:rPr>
        <w:rFonts w:ascii="Wingdings" w:hAnsi="Wingdings" w:hint="default"/>
      </w:rPr>
    </w:lvl>
    <w:lvl w:ilvl="6" w:tplc="873CAC20" w:tentative="1">
      <w:start w:val="1"/>
      <w:numFmt w:val="bullet"/>
      <w:lvlText w:val=""/>
      <w:lvlJc w:val="left"/>
      <w:pPr>
        <w:ind w:left="5040" w:hanging="360"/>
      </w:pPr>
      <w:rPr>
        <w:rFonts w:ascii="Symbol" w:hAnsi="Symbol" w:hint="default"/>
      </w:rPr>
    </w:lvl>
    <w:lvl w:ilvl="7" w:tplc="E56277C8" w:tentative="1">
      <w:start w:val="1"/>
      <w:numFmt w:val="bullet"/>
      <w:lvlText w:val="o"/>
      <w:lvlJc w:val="left"/>
      <w:pPr>
        <w:ind w:left="5760" w:hanging="360"/>
      </w:pPr>
      <w:rPr>
        <w:rFonts w:ascii="Courier New" w:hAnsi="Courier New" w:cs="Courier New" w:hint="default"/>
      </w:rPr>
    </w:lvl>
    <w:lvl w:ilvl="8" w:tplc="C3C03268" w:tentative="1">
      <w:start w:val="1"/>
      <w:numFmt w:val="bullet"/>
      <w:lvlText w:val=""/>
      <w:lvlJc w:val="left"/>
      <w:pPr>
        <w:ind w:left="6480" w:hanging="360"/>
      </w:pPr>
      <w:rPr>
        <w:rFonts w:ascii="Wingdings" w:hAnsi="Wingdings" w:hint="default"/>
      </w:rPr>
    </w:lvl>
  </w:abstractNum>
  <w:abstractNum w:abstractNumId="8" w15:restartNumberingAfterBreak="0">
    <w:nsid w:val="62CF7BF7"/>
    <w:multiLevelType w:val="hybridMultilevel"/>
    <w:tmpl w:val="3062703C"/>
    <w:lvl w:ilvl="0" w:tplc="68DAF9F4">
      <w:start w:val="1"/>
      <w:numFmt w:val="bullet"/>
      <w:lvlText w:val=""/>
      <w:lvlJc w:val="left"/>
      <w:pPr>
        <w:ind w:left="720" w:hanging="360"/>
      </w:pPr>
      <w:rPr>
        <w:rFonts w:ascii="Symbol" w:hAnsi="Symbol" w:hint="default"/>
      </w:rPr>
    </w:lvl>
    <w:lvl w:ilvl="1" w:tplc="A8264618" w:tentative="1">
      <w:start w:val="1"/>
      <w:numFmt w:val="bullet"/>
      <w:lvlText w:val="o"/>
      <w:lvlJc w:val="left"/>
      <w:pPr>
        <w:ind w:left="1440" w:hanging="360"/>
      </w:pPr>
      <w:rPr>
        <w:rFonts w:ascii="Courier New" w:hAnsi="Courier New" w:cs="Courier New" w:hint="default"/>
      </w:rPr>
    </w:lvl>
    <w:lvl w:ilvl="2" w:tplc="8A8CC0F6" w:tentative="1">
      <w:start w:val="1"/>
      <w:numFmt w:val="bullet"/>
      <w:lvlText w:val=""/>
      <w:lvlJc w:val="left"/>
      <w:pPr>
        <w:ind w:left="2160" w:hanging="360"/>
      </w:pPr>
      <w:rPr>
        <w:rFonts w:ascii="Wingdings" w:hAnsi="Wingdings" w:hint="default"/>
      </w:rPr>
    </w:lvl>
    <w:lvl w:ilvl="3" w:tplc="4D226336" w:tentative="1">
      <w:start w:val="1"/>
      <w:numFmt w:val="bullet"/>
      <w:lvlText w:val=""/>
      <w:lvlJc w:val="left"/>
      <w:pPr>
        <w:ind w:left="2880" w:hanging="360"/>
      </w:pPr>
      <w:rPr>
        <w:rFonts w:ascii="Symbol" w:hAnsi="Symbol" w:hint="default"/>
      </w:rPr>
    </w:lvl>
    <w:lvl w:ilvl="4" w:tplc="9FE0F21A" w:tentative="1">
      <w:start w:val="1"/>
      <w:numFmt w:val="bullet"/>
      <w:lvlText w:val="o"/>
      <w:lvlJc w:val="left"/>
      <w:pPr>
        <w:ind w:left="3600" w:hanging="360"/>
      </w:pPr>
      <w:rPr>
        <w:rFonts w:ascii="Courier New" w:hAnsi="Courier New" w:cs="Courier New" w:hint="default"/>
      </w:rPr>
    </w:lvl>
    <w:lvl w:ilvl="5" w:tplc="64EE76F0" w:tentative="1">
      <w:start w:val="1"/>
      <w:numFmt w:val="bullet"/>
      <w:lvlText w:val=""/>
      <w:lvlJc w:val="left"/>
      <w:pPr>
        <w:ind w:left="4320" w:hanging="360"/>
      </w:pPr>
      <w:rPr>
        <w:rFonts w:ascii="Wingdings" w:hAnsi="Wingdings" w:hint="default"/>
      </w:rPr>
    </w:lvl>
    <w:lvl w:ilvl="6" w:tplc="5D40F364" w:tentative="1">
      <w:start w:val="1"/>
      <w:numFmt w:val="bullet"/>
      <w:lvlText w:val=""/>
      <w:lvlJc w:val="left"/>
      <w:pPr>
        <w:ind w:left="5040" w:hanging="360"/>
      </w:pPr>
      <w:rPr>
        <w:rFonts w:ascii="Symbol" w:hAnsi="Symbol" w:hint="default"/>
      </w:rPr>
    </w:lvl>
    <w:lvl w:ilvl="7" w:tplc="D7A2DA58" w:tentative="1">
      <w:start w:val="1"/>
      <w:numFmt w:val="bullet"/>
      <w:lvlText w:val="o"/>
      <w:lvlJc w:val="left"/>
      <w:pPr>
        <w:ind w:left="5760" w:hanging="360"/>
      </w:pPr>
      <w:rPr>
        <w:rFonts w:ascii="Courier New" w:hAnsi="Courier New" w:cs="Courier New" w:hint="default"/>
      </w:rPr>
    </w:lvl>
    <w:lvl w:ilvl="8" w:tplc="E06403D2" w:tentative="1">
      <w:start w:val="1"/>
      <w:numFmt w:val="bullet"/>
      <w:lvlText w:val=""/>
      <w:lvlJc w:val="left"/>
      <w:pPr>
        <w:ind w:left="6480" w:hanging="360"/>
      </w:pPr>
      <w:rPr>
        <w:rFonts w:ascii="Wingdings" w:hAnsi="Wingdings" w:hint="default"/>
      </w:rPr>
    </w:lvl>
  </w:abstractNum>
  <w:abstractNum w:abstractNumId="9" w15:restartNumberingAfterBreak="0">
    <w:nsid w:val="695D6A28"/>
    <w:multiLevelType w:val="hybridMultilevel"/>
    <w:tmpl w:val="F22E57F0"/>
    <w:lvl w:ilvl="0" w:tplc="80A48A48">
      <w:start w:val="1"/>
      <w:numFmt w:val="bullet"/>
      <w:pStyle w:val="BulletedList"/>
      <w:lvlText w:val=""/>
      <w:lvlJc w:val="left"/>
      <w:pPr>
        <w:ind w:left="720" w:hanging="360"/>
      </w:pPr>
      <w:rPr>
        <w:rFonts w:ascii="Wingdings" w:hAnsi="Wingdings" w:hint="default"/>
      </w:rPr>
    </w:lvl>
    <w:lvl w:ilvl="1" w:tplc="6734A9DE" w:tentative="1">
      <w:start w:val="1"/>
      <w:numFmt w:val="bullet"/>
      <w:lvlText w:val="o"/>
      <w:lvlJc w:val="left"/>
      <w:pPr>
        <w:ind w:left="1440" w:hanging="360"/>
      </w:pPr>
      <w:rPr>
        <w:rFonts w:ascii="Courier New" w:hAnsi="Courier New" w:cs="Courier New" w:hint="default"/>
      </w:rPr>
    </w:lvl>
    <w:lvl w:ilvl="2" w:tplc="27A68392" w:tentative="1">
      <w:start w:val="1"/>
      <w:numFmt w:val="bullet"/>
      <w:lvlText w:val=""/>
      <w:lvlJc w:val="left"/>
      <w:pPr>
        <w:ind w:left="2160" w:hanging="360"/>
      </w:pPr>
      <w:rPr>
        <w:rFonts w:ascii="Wingdings" w:hAnsi="Wingdings" w:hint="default"/>
      </w:rPr>
    </w:lvl>
    <w:lvl w:ilvl="3" w:tplc="077A3B32" w:tentative="1">
      <w:start w:val="1"/>
      <w:numFmt w:val="bullet"/>
      <w:lvlText w:val=""/>
      <w:lvlJc w:val="left"/>
      <w:pPr>
        <w:ind w:left="2880" w:hanging="360"/>
      </w:pPr>
      <w:rPr>
        <w:rFonts w:ascii="Symbol" w:hAnsi="Symbol" w:hint="default"/>
      </w:rPr>
    </w:lvl>
    <w:lvl w:ilvl="4" w:tplc="655E4E8A" w:tentative="1">
      <w:start w:val="1"/>
      <w:numFmt w:val="bullet"/>
      <w:lvlText w:val="o"/>
      <w:lvlJc w:val="left"/>
      <w:pPr>
        <w:ind w:left="3600" w:hanging="360"/>
      </w:pPr>
      <w:rPr>
        <w:rFonts w:ascii="Courier New" w:hAnsi="Courier New" w:cs="Courier New" w:hint="default"/>
      </w:rPr>
    </w:lvl>
    <w:lvl w:ilvl="5" w:tplc="87EE2F5C" w:tentative="1">
      <w:start w:val="1"/>
      <w:numFmt w:val="bullet"/>
      <w:lvlText w:val=""/>
      <w:lvlJc w:val="left"/>
      <w:pPr>
        <w:ind w:left="4320" w:hanging="360"/>
      </w:pPr>
      <w:rPr>
        <w:rFonts w:ascii="Wingdings" w:hAnsi="Wingdings" w:hint="default"/>
      </w:rPr>
    </w:lvl>
    <w:lvl w:ilvl="6" w:tplc="476695CC" w:tentative="1">
      <w:start w:val="1"/>
      <w:numFmt w:val="bullet"/>
      <w:lvlText w:val=""/>
      <w:lvlJc w:val="left"/>
      <w:pPr>
        <w:ind w:left="5040" w:hanging="360"/>
      </w:pPr>
      <w:rPr>
        <w:rFonts w:ascii="Symbol" w:hAnsi="Symbol" w:hint="default"/>
      </w:rPr>
    </w:lvl>
    <w:lvl w:ilvl="7" w:tplc="22BE4146" w:tentative="1">
      <w:start w:val="1"/>
      <w:numFmt w:val="bullet"/>
      <w:lvlText w:val="o"/>
      <w:lvlJc w:val="left"/>
      <w:pPr>
        <w:ind w:left="5760" w:hanging="360"/>
      </w:pPr>
      <w:rPr>
        <w:rFonts w:ascii="Courier New" w:hAnsi="Courier New" w:cs="Courier New" w:hint="default"/>
      </w:rPr>
    </w:lvl>
    <w:lvl w:ilvl="8" w:tplc="B00E8ACC"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
  </w:num>
  <w:num w:numId="4">
    <w:abstractNumId w:val="0"/>
  </w:num>
  <w:num w:numId="5">
    <w:abstractNumId w:val="8"/>
  </w:num>
  <w:num w:numId="6">
    <w:abstractNumId w:val="2"/>
  </w:num>
  <w:num w:numId="7">
    <w:abstractNumId w:val="4"/>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0tjQyNzUyNrIwNzNS0lEKTi0uzszPAykwqgUAH89heiwAAAA="/>
  </w:docVars>
  <w:rsids>
    <w:rsidRoot w:val="00C13860"/>
    <w:rsid w:val="000656D2"/>
    <w:rsid w:val="00096676"/>
    <w:rsid w:val="000A1A7C"/>
    <w:rsid w:val="000A22E5"/>
    <w:rsid w:val="000C7DE9"/>
    <w:rsid w:val="000F08E0"/>
    <w:rsid w:val="001213A0"/>
    <w:rsid w:val="00150A08"/>
    <w:rsid w:val="00185FD8"/>
    <w:rsid w:val="001932BA"/>
    <w:rsid w:val="001A6F73"/>
    <w:rsid w:val="001D5A30"/>
    <w:rsid w:val="001F619A"/>
    <w:rsid w:val="0020115E"/>
    <w:rsid w:val="002B67A3"/>
    <w:rsid w:val="002B6B23"/>
    <w:rsid w:val="002F38B6"/>
    <w:rsid w:val="00317064"/>
    <w:rsid w:val="003E2CDC"/>
    <w:rsid w:val="004178A1"/>
    <w:rsid w:val="004431DE"/>
    <w:rsid w:val="00450F07"/>
    <w:rsid w:val="0045285D"/>
    <w:rsid w:val="00466934"/>
    <w:rsid w:val="00473BCB"/>
    <w:rsid w:val="00474982"/>
    <w:rsid w:val="004B0128"/>
    <w:rsid w:val="004C2C14"/>
    <w:rsid w:val="004F41C3"/>
    <w:rsid w:val="0051484C"/>
    <w:rsid w:val="005259E6"/>
    <w:rsid w:val="0053575D"/>
    <w:rsid w:val="005455C0"/>
    <w:rsid w:val="005617BE"/>
    <w:rsid w:val="00587E00"/>
    <w:rsid w:val="005D59F3"/>
    <w:rsid w:val="00607E4B"/>
    <w:rsid w:val="00680B77"/>
    <w:rsid w:val="006B7630"/>
    <w:rsid w:val="00704495"/>
    <w:rsid w:val="00736302"/>
    <w:rsid w:val="00792C11"/>
    <w:rsid w:val="00792F89"/>
    <w:rsid w:val="008265F1"/>
    <w:rsid w:val="00841C46"/>
    <w:rsid w:val="0084422A"/>
    <w:rsid w:val="008A0B9A"/>
    <w:rsid w:val="008A740E"/>
    <w:rsid w:val="008B0BCC"/>
    <w:rsid w:val="008B636A"/>
    <w:rsid w:val="008D0E14"/>
    <w:rsid w:val="008F5DE8"/>
    <w:rsid w:val="009054EF"/>
    <w:rsid w:val="0096300C"/>
    <w:rsid w:val="00970778"/>
    <w:rsid w:val="00974F0E"/>
    <w:rsid w:val="00986B93"/>
    <w:rsid w:val="009C336C"/>
    <w:rsid w:val="00A1062C"/>
    <w:rsid w:val="00A16E52"/>
    <w:rsid w:val="00A30C21"/>
    <w:rsid w:val="00A57169"/>
    <w:rsid w:val="00A6796C"/>
    <w:rsid w:val="00AD027A"/>
    <w:rsid w:val="00B129E0"/>
    <w:rsid w:val="00B2035A"/>
    <w:rsid w:val="00B27928"/>
    <w:rsid w:val="00B36F37"/>
    <w:rsid w:val="00B85464"/>
    <w:rsid w:val="00B93688"/>
    <w:rsid w:val="00BB13CC"/>
    <w:rsid w:val="00BB5DB5"/>
    <w:rsid w:val="00BC1289"/>
    <w:rsid w:val="00C028FB"/>
    <w:rsid w:val="00C13860"/>
    <w:rsid w:val="00C36D47"/>
    <w:rsid w:val="00C92443"/>
    <w:rsid w:val="00CA7A2E"/>
    <w:rsid w:val="00CB25AA"/>
    <w:rsid w:val="00CE00B1"/>
    <w:rsid w:val="00CF63D8"/>
    <w:rsid w:val="00CF71A3"/>
    <w:rsid w:val="00D001DF"/>
    <w:rsid w:val="00D47248"/>
    <w:rsid w:val="00D47D52"/>
    <w:rsid w:val="00D56A8B"/>
    <w:rsid w:val="00DC2EC9"/>
    <w:rsid w:val="00E06099"/>
    <w:rsid w:val="00E17698"/>
    <w:rsid w:val="00E17D84"/>
    <w:rsid w:val="00E63837"/>
    <w:rsid w:val="00EB56D6"/>
    <w:rsid w:val="00ED6866"/>
    <w:rsid w:val="00F201F7"/>
    <w:rsid w:val="00F279EA"/>
    <w:rsid w:val="00F505DA"/>
    <w:rsid w:val="00F90E5E"/>
    <w:rsid w:val="00FC03EE"/>
    <w:rsid w:val="00FE5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E93FBE-19AB-4A5D-A4B8-2B6677792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ABD"/>
  </w:style>
  <w:style w:type="paragraph" w:styleId="Footer">
    <w:name w:val="footer"/>
    <w:basedOn w:val="Normal"/>
    <w:link w:val="FooterChar"/>
    <w:uiPriority w:val="99"/>
    <w:unhideWhenUsed/>
    <w:rsid w:val="00FE5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ABD"/>
  </w:style>
  <w:style w:type="paragraph" w:customStyle="1" w:styleId="ArticleHeader">
    <w:name w:val="Article Header"/>
    <w:basedOn w:val="Normal"/>
    <w:link w:val="ArticleHeaderChar"/>
    <w:rsid w:val="000A1A7C"/>
    <w:pPr>
      <w:spacing w:after="0" w:line="240" w:lineRule="auto"/>
    </w:pPr>
    <w:rPr>
      <w:rFonts w:ascii="Arial" w:hAnsi="Arial" w:cs="Arial"/>
      <w:b/>
      <w:sz w:val="32"/>
      <w:szCs w:val="32"/>
    </w:rPr>
  </w:style>
  <w:style w:type="paragraph" w:customStyle="1" w:styleId="Subheader">
    <w:name w:val="Subheader"/>
    <w:basedOn w:val="Normal"/>
    <w:link w:val="SubheaderChar"/>
    <w:rsid w:val="000A1A7C"/>
    <w:pPr>
      <w:spacing w:after="0" w:line="240" w:lineRule="auto"/>
    </w:pPr>
    <w:rPr>
      <w:rFonts w:ascii="Arial" w:hAnsi="Arial" w:cs="Arial"/>
      <w:b/>
      <w:sz w:val="26"/>
      <w:szCs w:val="26"/>
    </w:rPr>
  </w:style>
  <w:style w:type="character" w:customStyle="1" w:styleId="ArticleHeaderChar">
    <w:name w:val="Article Header Char"/>
    <w:basedOn w:val="DefaultParagraphFont"/>
    <w:link w:val="ArticleHeader"/>
    <w:rsid w:val="000A1A7C"/>
    <w:rPr>
      <w:rFonts w:ascii="Arial" w:hAnsi="Arial" w:cs="Arial"/>
      <w:b/>
      <w:sz w:val="32"/>
      <w:szCs w:val="32"/>
    </w:rPr>
  </w:style>
  <w:style w:type="paragraph" w:customStyle="1" w:styleId="BulletedList">
    <w:name w:val="Bulleted List"/>
    <w:basedOn w:val="Normal"/>
    <w:link w:val="BulletedListChar"/>
    <w:qFormat/>
    <w:rsid w:val="000A1A7C"/>
    <w:pPr>
      <w:numPr>
        <w:numId w:val="1"/>
      </w:numPr>
      <w:spacing w:after="0" w:line="240" w:lineRule="auto"/>
    </w:pPr>
    <w:rPr>
      <w:rFonts w:ascii="Arial" w:hAnsi="Arial" w:cs="Arial"/>
    </w:rPr>
  </w:style>
  <w:style w:type="character" w:customStyle="1" w:styleId="SubheaderChar">
    <w:name w:val="Subheader Char"/>
    <w:basedOn w:val="DefaultParagraphFont"/>
    <w:link w:val="Subheader"/>
    <w:rsid w:val="000A1A7C"/>
    <w:rPr>
      <w:rFonts w:ascii="Arial" w:hAnsi="Arial" w:cs="Arial"/>
      <w:b/>
      <w:sz w:val="26"/>
      <w:szCs w:val="26"/>
    </w:rPr>
  </w:style>
  <w:style w:type="paragraph" w:customStyle="1" w:styleId="NumberedList">
    <w:name w:val="Numbered List"/>
    <w:basedOn w:val="BulletedList"/>
    <w:link w:val="NumberedListChar"/>
    <w:rsid w:val="00841C46"/>
    <w:pPr>
      <w:numPr>
        <w:numId w:val="2"/>
      </w:numPr>
      <w:ind w:left="270" w:hanging="270"/>
    </w:pPr>
  </w:style>
  <w:style w:type="character" w:customStyle="1" w:styleId="BulletedListChar">
    <w:name w:val="Bulleted List Char"/>
    <w:basedOn w:val="DefaultParagraphFont"/>
    <w:link w:val="BulletedList"/>
    <w:rsid w:val="000A1A7C"/>
    <w:rPr>
      <w:rFonts w:ascii="Arial" w:hAnsi="Arial" w:cs="Arial"/>
    </w:rPr>
  </w:style>
  <w:style w:type="character" w:customStyle="1" w:styleId="NumberedListChar">
    <w:name w:val="Numbered List Char"/>
    <w:basedOn w:val="BulletedListChar"/>
    <w:link w:val="NumberedList"/>
    <w:rsid w:val="00841C46"/>
    <w:rPr>
      <w:rFonts w:ascii="Arial" w:hAnsi="Arial" w:cs="Arial"/>
    </w:rPr>
  </w:style>
  <w:style w:type="character" w:styleId="Hyperlink">
    <w:name w:val="Hyperlink"/>
    <w:basedOn w:val="DefaultParagraphFont"/>
    <w:uiPriority w:val="99"/>
    <w:unhideWhenUsed/>
    <w:rsid w:val="002B67A3"/>
    <w:rPr>
      <w:color w:val="0563C1" w:themeColor="hyperlink"/>
      <w:u w:val="single"/>
    </w:rPr>
  </w:style>
  <w:style w:type="paragraph" w:styleId="ListParagraph">
    <w:name w:val="List Paragraph"/>
    <w:basedOn w:val="Normal"/>
    <w:uiPriority w:val="34"/>
    <w:rsid w:val="002B67A3"/>
    <w:pPr>
      <w:spacing w:line="240" w:lineRule="auto"/>
      <w:ind w:left="720"/>
      <w:contextualSpacing/>
    </w:pPr>
    <w:rPr>
      <w:rFonts w:ascii="Arial" w:hAnsi="Arial" w:cs="Arial"/>
      <w:sz w:val="20"/>
    </w:rPr>
  </w:style>
  <w:style w:type="paragraph" w:customStyle="1" w:styleId="1Header">
    <w:name w:val="1 Header"/>
    <w:basedOn w:val="ArticleHeader"/>
    <w:link w:val="1HeaderChar"/>
    <w:qFormat/>
    <w:rsid w:val="001932BA"/>
    <w:pPr>
      <w:spacing w:after="80" w:line="192" w:lineRule="auto"/>
    </w:pPr>
    <w:rPr>
      <w:rFonts w:asciiTheme="minorHAnsi" w:hAnsiTheme="minorHAnsi" w:cstheme="minorHAnsi"/>
      <w:sz w:val="36"/>
    </w:rPr>
  </w:style>
  <w:style w:type="paragraph" w:customStyle="1" w:styleId="Body">
    <w:name w:val="Body"/>
    <w:basedOn w:val="Normal"/>
    <w:link w:val="BodyChar"/>
    <w:qFormat/>
    <w:rsid w:val="005617BE"/>
    <w:pPr>
      <w:spacing w:line="252" w:lineRule="auto"/>
    </w:pPr>
    <w:rPr>
      <w:rFonts w:cstheme="minorHAnsi"/>
    </w:rPr>
  </w:style>
  <w:style w:type="character" w:customStyle="1" w:styleId="1HeaderChar">
    <w:name w:val="1 Header Char"/>
    <w:basedOn w:val="ArticleHeaderChar"/>
    <w:link w:val="1Header"/>
    <w:rsid w:val="001932BA"/>
    <w:rPr>
      <w:rFonts w:ascii="Arial" w:hAnsi="Arial" w:cstheme="minorHAnsi"/>
      <w:b/>
      <w:sz w:val="36"/>
      <w:szCs w:val="32"/>
    </w:rPr>
  </w:style>
  <w:style w:type="paragraph" w:customStyle="1" w:styleId="BulletList">
    <w:name w:val="Bullet List"/>
    <w:basedOn w:val="Body"/>
    <w:link w:val="BulletListChar"/>
    <w:qFormat/>
    <w:rsid w:val="00185FD8"/>
    <w:pPr>
      <w:numPr>
        <w:numId w:val="6"/>
      </w:numPr>
      <w:spacing w:after="60"/>
      <w:ind w:left="273" w:hanging="187"/>
    </w:pPr>
  </w:style>
  <w:style w:type="character" w:customStyle="1" w:styleId="BodyChar">
    <w:name w:val="Body Char"/>
    <w:basedOn w:val="DefaultParagraphFont"/>
    <w:link w:val="Body"/>
    <w:rsid w:val="005617BE"/>
    <w:rPr>
      <w:rFonts w:cstheme="minorHAnsi"/>
    </w:rPr>
  </w:style>
  <w:style w:type="character" w:customStyle="1" w:styleId="BulletListChar">
    <w:name w:val="Bullet List Char"/>
    <w:basedOn w:val="BodyChar"/>
    <w:link w:val="BulletList"/>
    <w:rsid w:val="00185FD8"/>
    <w:rPr>
      <w:rFonts w:cstheme="minorHAnsi"/>
    </w:rPr>
  </w:style>
  <w:style w:type="paragraph" w:customStyle="1" w:styleId="2Header">
    <w:name w:val="2 Header"/>
    <w:basedOn w:val="Normal"/>
    <w:link w:val="2HeaderChar"/>
    <w:qFormat/>
    <w:rsid w:val="00A57169"/>
    <w:pPr>
      <w:spacing w:after="0"/>
    </w:pPr>
    <w:rPr>
      <w:rFonts w:cstheme="minorHAnsi"/>
      <w:b/>
    </w:rPr>
  </w:style>
  <w:style w:type="character" w:customStyle="1" w:styleId="2HeaderChar">
    <w:name w:val="2 Header Char"/>
    <w:basedOn w:val="DefaultParagraphFont"/>
    <w:link w:val="2Header"/>
    <w:rsid w:val="00A57169"/>
    <w:rPr>
      <w:rFonts w:cstheme="minorHAnsi"/>
      <w:b/>
    </w:rPr>
  </w:style>
  <w:style w:type="character" w:customStyle="1" w:styleId="UnresolvedMention1">
    <w:name w:val="Unresolved Mention1"/>
    <w:basedOn w:val="DefaultParagraphFont"/>
    <w:uiPriority w:val="99"/>
    <w:semiHidden/>
    <w:unhideWhenUsed/>
    <w:rsid w:val="00C13860"/>
    <w:rPr>
      <w:color w:val="605E5C"/>
      <w:shd w:val="clear" w:color="auto" w:fill="E1DFDD"/>
    </w:rPr>
  </w:style>
  <w:style w:type="character" w:styleId="FollowedHyperlink">
    <w:name w:val="FollowedHyperlink"/>
    <w:basedOn w:val="DefaultParagraphFont"/>
    <w:uiPriority w:val="99"/>
    <w:semiHidden/>
    <w:unhideWhenUsed/>
    <w:rsid w:val="001D5A30"/>
    <w:rPr>
      <w:color w:val="954F72" w:themeColor="followedHyperlink"/>
      <w:u w:val="single"/>
    </w:rPr>
  </w:style>
  <w:style w:type="character" w:styleId="CommentReference">
    <w:name w:val="annotation reference"/>
    <w:basedOn w:val="DefaultParagraphFont"/>
    <w:uiPriority w:val="99"/>
    <w:semiHidden/>
    <w:unhideWhenUsed/>
    <w:rsid w:val="00474982"/>
    <w:rPr>
      <w:sz w:val="16"/>
      <w:szCs w:val="16"/>
    </w:rPr>
  </w:style>
  <w:style w:type="paragraph" w:styleId="CommentText">
    <w:name w:val="annotation text"/>
    <w:basedOn w:val="Normal"/>
    <w:link w:val="CommentTextChar"/>
    <w:uiPriority w:val="99"/>
    <w:semiHidden/>
    <w:unhideWhenUsed/>
    <w:rsid w:val="00474982"/>
    <w:pPr>
      <w:spacing w:line="240" w:lineRule="auto"/>
    </w:pPr>
    <w:rPr>
      <w:sz w:val="20"/>
      <w:szCs w:val="20"/>
    </w:rPr>
  </w:style>
  <w:style w:type="character" w:customStyle="1" w:styleId="CommentTextChar">
    <w:name w:val="Comment Text Char"/>
    <w:basedOn w:val="DefaultParagraphFont"/>
    <w:link w:val="CommentText"/>
    <w:uiPriority w:val="99"/>
    <w:semiHidden/>
    <w:rsid w:val="00474982"/>
    <w:rPr>
      <w:sz w:val="20"/>
      <w:szCs w:val="20"/>
    </w:rPr>
  </w:style>
  <w:style w:type="paragraph" w:styleId="CommentSubject">
    <w:name w:val="annotation subject"/>
    <w:basedOn w:val="CommentText"/>
    <w:next w:val="CommentText"/>
    <w:link w:val="CommentSubjectChar"/>
    <w:uiPriority w:val="99"/>
    <w:semiHidden/>
    <w:unhideWhenUsed/>
    <w:rsid w:val="00474982"/>
    <w:rPr>
      <w:b/>
      <w:bCs/>
    </w:rPr>
  </w:style>
  <w:style w:type="character" w:customStyle="1" w:styleId="CommentSubjectChar">
    <w:name w:val="Comment Subject Char"/>
    <w:basedOn w:val="CommentTextChar"/>
    <w:link w:val="CommentSubject"/>
    <w:uiPriority w:val="99"/>
    <w:semiHidden/>
    <w:rsid w:val="00474982"/>
    <w:rPr>
      <w:b/>
      <w:bCs/>
      <w:sz w:val="20"/>
      <w:szCs w:val="20"/>
    </w:rPr>
  </w:style>
  <w:style w:type="paragraph" w:styleId="BalloonText">
    <w:name w:val="Balloon Text"/>
    <w:basedOn w:val="Normal"/>
    <w:link w:val="BalloonTextChar"/>
    <w:uiPriority w:val="99"/>
    <w:semiHidden/>
    <w:unhideWhenUsed/>
    <w:rsid w:val="004749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9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vinfo.gov/content/pkg/FR-2019-01-24/pdf/2019-00077.pdf" TargetMode="External"/><Relationship Id="rId4" Type="http://schemas.openxmlformats.org/officeDocument/2006/relationships/settings" Target="settings.xml"/><Relationship Id="rId9" Type="http://schemas.openxmlformats.org/officeDocument/2006/relationships/hyperlink" Target="https://www.congress.gov/bill/116th-congress/house-bill/1865/tex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Benefits%20Buzz\2020\Benefits_Buzz-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DCAF6-3F4C-41A2-8C22-0770D7206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Benefits_Buzz-EB-2020-US</Template>
  <TotalTime>0</TotalTime>
  <Pages>1</Pages>
  <Words>1</Words>
  <Characters>10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Jacobs, Jessica</cp:lastModifiedBy>
  <cp:revision>2</cp:revision>
  <dcterms:created xsi:type="dcterms:W3CDTF">2020-02-06T19:00:00Z</dcterms:created>
  <dcterms:modified xsi:type="dcterms:W3CDTF">2020-02-06T19:00:00Z</dcterms:modified>
</cp:coreProperties>
</file>