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37D" w:rsidRDefault="0071137D" w:rsidP="0071137D">
      <w:pPr>
        <w:pStyle w:val="Title"/>
      </w:pPr>
      <w:r>
        <w:rPr>
          <w:noProof/>
        </w:rPr>
        <w:drawing>
          <wp:inline distT="0" distB="0" distL="0" distR="0" wp14:anchorId="423BEC09" wp14:editId="0FDAE6B8">
            <wp:extent cx="4457700" cy="1714500"/>
            <wp:effectExtent l="0" t="0" r="0" b="0"/>
            <wp:docPr id="3" name="Picture 3" descr="C:\Users\jacobsj\AppData\Local\Microsoft\Windows\INetCache\Content.Word\NEW TRG Logo_v6_Horizontal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obsj\AppData\Local\Microsoft\Windows\INetCache\Content.Word\NEW TRG Logo_v6_Horizontal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714500"/>
                    </a:xfrm>
                    <a:prstGeom prst="rect">
                      <a:avLst/>
                    </a:prstGeom>
                    <a:noFill/>
                    <a:ln>
                      <a:noFill/>
                    </a:ln>
                  </pic:spPr>
                </pic:pic>
              </a:graphicData>
            </a:graphic>
          </wp:inline>
        </w:drawing>
      </w:r>
    </w:p>
    <w:p w:rsidR="0071137D" w:rsidRDefault="0071137D" w:rsidP="0071137D">
      <w:pPr>
        <w:pStyle w:val="Title"/>
        <w:jc w:val="center"/>
      </w:pPr>
      <w:r>
        <w:t>SBU Compliance Guide</w:t>
      </w:r>
    </w:p>
    <w:p w:rsidR="0071137D" w:rsidRDefault="0071137D" w:rsidP="0071137D"/>
    <w:sdt>
      <w:sdtPr>
        <w:rPr>
          <w:rFonts w:asciiTheme="minorHAnsi" w:eastAsiaTheme="minorHAnsi" w:hAnsiTheme="minorHAnsi" w:cstheme="minorBidi"/>
          <w:color w:val="auto"/>
          <w:sz w:val="22"/>
          <w:szCs w:val="22"/>
        </w:rPr>
        <w:id w:val="-567038263"/>
        <w:docPartObj>
          <w:docPartGallery w:val="Table of Contents"/>
          <w:docPartUnique/>
        </w:docPartObj>
      </w:sdtPr>
      <w:sdtEndPr>
        <w:rPr>
          <w:b/>
          <w:bCs/>
          <w:noProof/>
        </w:rPr>
      </w:sdtEndPr>
      <w:sdtContent>
        <w:p w:rsidR="005E318E" w:rsidRPr="0071137D" w:rsidRDefault="005E318E">
          <w:pPr>
            <w:pStyle w:val="TOCHeading"/>
            <w:rPr>
              <w:rFonts w:asciiTheme="minorHAnsi" w:eastAsiaTheme="minorHAnsi" w:hAnsiTheme="minorHAnsi" w:cstheme="minorBidi"/>
              <w:color w:val="auto"/>
              <w:sz w:val="22"/>
              <w:szCs w:val="22"/>
            </w:rPr>
          </w:pPr>
          <w:r w:rsidRPr="00EC7273">
            <w:t>Contents</w:t>
          </w:r>
        </w:p>
        <w:p w:rsidR="0071137D" w:rsidRDefault="005E318E">
          <w:pPr>
            <w:pStyle w:val="TOC1"/>
            <w:tabs>
              <w:tab w:val="right" w:leader="dot" w:pos="10790"/>
            </w:tabs>
            <w:rPr>
              <w:rFonts w:eastAsiaTheme="minorEastAsia"/>
              <w:noProof/>
            </w:rPr>
          </w:pPr>
          <w:r w:rsidRPr="00EC7273">
            <w:fldChar w:fldCharType="begin"/>
          </w:r>
          <w:r w:rsidRPr="00EC7273">
            <w:instrText xml:space="preserve"> TOC \o "1-3" \h \z \u </w:instrText>
          </w:r>
          <w:r w:rsidRPr="00EC7273">
            <w:fldChar w:fldCharType="separate"/>
          </w:r>
          <w:hyperlink w:anchor="_Toc519679166" w:history="1">
            <w:r w:rsidR="0071137D" w:rsidRPr="00CD38C4">
              <w:rPr>
                <w:rStyle w:val="Hyperlink"/>
                <w:noProof/>
              </w:rPr>
              <w:t>Plan Administration Best Practices</w:t>
            </w:r>
            <w:r w:rsidR="0071137D">
              <w:rPr>
                <w:noProof/>
                <w:webHidden/>
              </w:rPr>
              <w:tab/>
            </w:r>
            <w:r w:rsidR="0071137D">
              <w:rPr>
                <w:noProof/>
                <w:webHidden/>
              </w:rPr>
              <w:fldChar w:fldCharType="begin"/>
            </w:r>
            <w:r w:rsidR="0071137D">
              <w:rPr>
                <w:noProof/>
                <w:webHidden/>
              </w:rPr>
              <w:instrText xml:space="preserve"> PAGEREF _Toc519679166 \h </w:instrText>
            </w:r>
            <w:r w:rsidR="0071137D">
              <w:rPr>
                <w:noProof/>
                <w:webHidden/>
              </w:rPr>
            </w:r>
            <w:r w:rsidR="0071137D">
              <w:rPr>
                <w:noProof/>
                <w:webHidden/>
              </w:rPr>
              <w:fldChar w:fldCharType="separate"/>
            </w:r>
            <w:r w:rsidR="0071137D">
              <w:rPr>
                <w:noProof/>
                <w:webHidden/>
              </w:rPr>
              <w:t>1</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67" w:history="1">
            <w:r w:rsidR="0071137D" w:rsidRPr="00CD38C4">
              <w:rPr>
                <w:rStyle w:val="Hyperlink"/>
                <w:noProof/>
              </w:rPr>
              <w:t>Disclosures &amp; Notifications</w:t>
            </w:r>
            <w:r w:rsidR="0071137D">
              <w:rPr>
                <w:noProof/>
                <w:webHidden/>
              </w:rPr>
              <w:tab/>
            </w:r>
            <w:r w:rsidR="0071137D">
              <w:rPr>
                <w:noProof/>
                <w:webHidden/>
              </w:rPr>
              <w:fldChar w:fldCharType="begin"/>
            </w:r>
            <w:r w:rsidR="0071137D">
              <w:rPr>
                <w:noProof/>
                <w:webHidden/>
              </w:rPr>
              <w:instrText xml:space="preserve"> PAGEREF _Toc519679167 \h </w:instrText>
            </w:r>
            <w:r w:rsidR="0071137D">
              <w:rPr>
                <w:noProof/>
                <w:webHidden/>
              </w:rPr>
            </w:r>
            <w:r w:rsidR="0071137D">
              <w:rPr>
                <w:noProof/>
                <w:webHidden/>
              </w:rPr>
              <w:fldChar w:fldCharType="separate"/>
            </w:r>
            <w:r w:rsidR="0071137D">
              <w:rPr>
                <w:noProof/>
                <w:webHidden/>
              </w:rPr>
              <w:t>2</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68" w:history="1">
            <w:r w:rsidR="0071137D" w:rsidRPr="00CD38C4">
              <w:rPr>
                <w:rStyle w:val="Hyperlink"/>
                <w:noProof/>
              </w:rPr>
              <w:t>COBRA/Viper/NH Continuation of Coverage Administration</w:t>
            </w:r>
            <w:r w:rsidR="0071137D">
              <w:rPr>
                <w:noProof/>
                <w:webHidden/>
              </w:rPr>
              <w:tab/>
            </w:r>
            <w:r w:rsidR="0071137D">
              <w:rPr>
                <w:noProof/>
                <w:webHidden/>
              </w:rPr>
              <w:fldChar w:fldCharType="begin"/>
            </w:r>
            <w:r w:rsidR="0071137D">
              <w:rPr>
                <w:noProof/>
                <w:webHidden/>
              </w:rPr>
              <w:instrText xml:space="preserve"> PAGEREF _Toc519679168 \h </w:instrText>
            </w:r>
            <w:r w:rsidR="0071137D">
              <w:rPr>
                <w:noProof/>
                <w:webHidden/>
              </w:rPr>
            </w:r>
            <w:r w:rsidR="0071137D">
              <w:rPr>
                <w:noProof/>
                <w:webHidden/>
              </w:rPr>
              <w:fldChar w:fldCharType="separate"/>
            </w:r>
            <w:r w:rsidR="0071137D">
              <w:rPr>
                <w:noProof/>
                <w:webHidden/>
              </w:rPr>
              <w:t>3</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69" w:history="1">
            <w:r w:rsidR="0071137D" w:rsidRPr="00CD38C4">
              <w:rPr>
                <w:rStyle w:val="Hyperlink"/>
                <w:noProof/>
              </w:rPr>
              <w:t xml:space="preserve">Flexible Spending Accounts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_Toc519679169 \h </w:instrText>
            </w:r>
            <w:r w:rsidR="0071137D">
              <w:rPr>
                <w:noProof/>
                <w:webHidden/>
              </w:rPr>
            </w:r>
            <w:r w:rsidR="0071137D">
              <w:rPr>
                <w:noProof/>
                <w:webHidden/>
              </w:rPr>
              <w:fldChar w:fldCharType="separate"/>
            </w:r>
            <w:r w:rsidR="0071137D">
              <w:rPr>
                <w:noProof/>
                <w:webHidden/>
              </w:rPr>
              <w:t>3</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70" w:history="1">
            <w:r w:rsidR="0071137D" w:rsidRPr="00CD38C4">
              <w:rPr>
                <w:rStyle w:val="Hyperlink"/>
                <w:noProof/>
              </w:rPr>
              <w:t xml:space="preserve">Health Reimbursement Accounts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_Toc519679170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71" w:history="1">
            <w:r w:rsidR="0071137D" w:rsidRPr="00CD38C4">
              <w:rPr>
                <w:rStyle w:val="Hyperlink"/>
                <w:noProof/>
              </w:rPr>
              <w:t>Health Savings Accounts</w:t>
            </w:r>
            <w:r w:rsidR="0071137D" w:rsidRPr="00CD38C4">
              <w:rPr>
                <w:rStyle w:val="Hyperlink"/>
                <w:rFonts w:ascii="Calibri" w:hAnsi="Calibri" w:cs="Calibri"/>
                <w:noProof/>
              </w:rPr>
              <w:t xml:space="preserve"> (if applicable)</w:t>
            </w:r>
            <w:r w:rsidR="0071137D">
              <w:rPr>
                <w:noProof/>
                <w:webHidden/>
              </w:rPr>
              <w:tab/>
            </w:r>
            <w:r w:rsidR="0071137D">
              <w:rPr>
                <w:noProof/>
                <w:webHidden/>
              </w:rPr>
              <w:fldChar w:fldCharType="begin"/>
            </w:r>
            <w:r w:rsidR="0071137D">
              <w:rPr>
                <w:noProof/>
                <w:webHidden/>
              </w:rPr>
              <w:instrText xml:space="preserve"> PAGEREF _Toc519679171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71137D" w:rsidRDefault="003C7F4D">
          <w:pPr>
            <w:pStyle w:val="TOC1"/>
            <w:tabs>
              <w:tab w:val="right" w:leader="dot" w:pos="10790"/>
            </w:tabs>
            <w:rPr>
              <w:rFonts w:eastAsiaTheme="minorEastAsia"/>
              <w:noProof/>
            </w:rPr>
          </w:pPr>
          <w:hyperlink w:anchor="_Toc519679172" w:history="1">
            <w:r w:rsidR="0071137D" w:rsidRPr="00CD38C4">
              <w:rPr>
                <w:rStyle w:val="Hyperlink"/>
                <w:noProof/>
              </w:rPr>
              <w:t xml:space="preserve">125 Premium Only Plans (POP)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_Toc519679172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5E318E" w:rsidRDefault="005E318E">
          <w:pPr>
            <w:rPr>
              <w:b/>
              <w:bCs/>
              <w:noProof/>
            </w:rPr>
          </w:pPr>
          <w:r w:rsidRPr="00EC7273">
            <w:rPr>
              <w:b/>
              <w:bCs/>
              <w:noProof/>
            </w:rPr>
            <w:fldChar w:fldCharType="end"/>
          </w:r>
        </w:p>
      </w:sdtContent>
    </w:sdt>
    <w:p w:rsidR="0071137D" w:rsidRDefault="0071137D">
      <w:pPr>
        <w:rPr>
          <w:rFonts w:asciiTheme="majorHAnsi" w:eastAsiaTheme="majorEastAsia" w:hAnsiTheme="majorHAnsi" w:cstheme="majorBidi"/>
          <w:color w:val="2E74B5" w:themeColor="accent1" w:themeShade="BF"/>
          <w:sz w:val="32"/>
          <w:szCs w:val="32"/>
        </w:rPr>
      </w:pPr>
      <w:bookmarkStart w:id="0" w:name="_Toc519679166"/>
      <w:r>
        <w:br w:type="page"/>
      </w:r>
    </w:p>
    <w:p w:rsidR="00182CF4" w:rsidRPr="00EC7273" w:rsidRDefault="00182CF4" w:rsidP="00182CF4">
      <w:pPr>
        <w:pStyle w:val="Heading1"/>
      </w:pPr>
      <w:r w:rsidRPr="00EC7273">
        <w:lastRenderedPageBreak/>
        <w:t>Plan Administration Best Practices</w:t>
      </w:r>
      <w:bookmarkEnd w:id="0"/>
    </w:p>
    <w:p w:rsidR="00182CF4" w:rsidRPr="00EC7273" w:rsidRDefault="00182CF4" w:rsidP="00182CF4">
      <w:pPr>
        <w:pStyle w:val="Subtitle"/>
      </w:pPr>
      <w:r w:rsidRPr="00EC7273">
        <w:t xml:space="preserve">Administration, Eligibility &amp; Participation - Medical Insurance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benefit eligibility for participation in all benefit plans and allows participation accordingly.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participation in medical insurance for FT employees who average 30 or more work hours per week. If offering part-time employees coverage, is consistent in allowing participation and has this defined in plan documents.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employment categories for full-time (FT), part-time (PT), temporary and seasonal employees.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medical insurance to start no later than 90-days from date of hire for full-time employees (unless using a 30-day orientation period).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If group benefits are offered, employer offers to all eligible employees (non-discrimination)</w:t>
      </w:r>
    </w:p>
    <w:p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Maintain annual records of completed VT Form HC-2 for all employees</w:t>
      </w:r>
      <w:r w:rsidR="00182CF4" w:rsidRPr="00EC7273">
        <w:rPr>
          <w:rFonts w:ascii="Calibri" w:hAnsi="Calibri" w:cs="Calibri"/>
          <w:color w:val="auto"/>
          <w:sz w:val="22"/>
          <w:szCs w:val="22"/>
        </w:rPr>
        <w:t xml:space="preserv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b/>
          <w:color w:val="auto"/>
          <w:sz w:val="22"/>
          <w:szCs w:val="22"/>
        </w:rPr>
        <w:t xml:space="preserve">ACA - </w:t>
      </w:r>
      <w:r w:rsidRPr="00EC7273">
        <w:rPr>
          <w:rFonts w:ascii="Calibri" w:hAnsi="Calibri" w:cs="Calibri"/>
          <w:color w:val="auto"/>
          <w:sz w:val="22"/>
          <w:szCs w:val="22"/>
        </w:rPr>
        <w:t xml:space="preserve">counting employees and offer of coverage for </w:t>
      </w:r>
      <w:r w:rsidRPr="00EC7273">
        <w:rPr>
          <w:rFonts w:ascii="Calibri" w:hAnsi="Calibri" w:cs="Calibri"/>
          <w:b/>
          <w:color w:val="auto"/>
          <w:sz w:val="22"/>
          <w:szCs w:val="22"/>
        </w:rPr>
        <w:t>part-time/variable hour</w:t>
      </w:r>
      <w:r w:rsidRPr="00EC7273">
        <w:rPr>
          <w:rFonts w:ascii="Calibri" w:hAnsi="Calibri" w:cs="Calibri"/>
          <w:color w:val="auto"/>
          <w:sz w:val="22"/>
          <w:szCs w:val="22"/>
        </w:rPr>
        <w:t xml:space="preserve"> employees</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measurement period defining the </w:t>
      </w:r>
      <w:proofErr w:type="gramStart"/>
      <w:r w:rsidRPr="00EC7273">
        <w:rPr>
          <w:rFonts w:ascii="Calibri" w:hAnsi="Calibri" w:cs="Calibri"/>
          <w:color w:val="auto"/>
          <w:sz w:val="22"/>
          <w:szCs w:val="22"/>
        </w:rPr>
        <w:t>time period</w:t>
      </w:r>
      <w:proofErr w:type="gramEnd"/>
      <w:r w:rsidRPr="00EC7273">
        <w:rPr>
          <w:rFonts w:ascii="Calibri" w:hAnsi="Calibri" w:cs="Calibri"/>
          <w:color w:val="auto"/>
          <w:sz w:val="22"/>
          <w:szCs w:val="22"/>
        </w:rPr>
        <w:t xml:space="preserve"> to determine eligibility using a monthly method or look back of 90-days to 12 months approach. Anyone averaging 30-hours are more for their defined measurement period </w:t>
      </w:r>
      <w:proofErr w:type="gramStart"/>
      <w:r w:rsidRPr="00EC7273">
        <w:rPr>
          <w:rFonts w:ascii="Calibri" w:hAnsi="Calibri" w:cs="Calibri"/>
          <w:color w:val="auto"/>
          <w:sz w:val="22"/>
          <w:szCs w:val="22"/>
        </w:rPr>
        <w:t>is allowed to</w:t>
      </w:r>
      <w:proofErr w:type="gramEnd"/>
      <w:r w:rsidRPr="00EC7273">
        <w:rPr>
          <w:rFonts w:ascii="Calibri" w:hAnsi="Calibri" w:cs="Calibri"/>
          <w:color w:val="auto"/>
          <w:sz w:val="22"/>
          <w:szCs w:val="22"/>
        </w:rPr>
        <w:t xml:space="preserve"> participate. May define different measurement periods for new hires and ongoing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Defines an administrative period of 30 to 90 calendar days following the measurement period to determine eligibility and get participants on the plan. The combined measurement period and administrative period cannot be more than 13 months for new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Manages a stability period allowing participants to remain on the medical plan, once they meet measurement period requirements for </w:t>
      </w:r>
      <w:proofErr w:type="gramStart"/>
      <w:r w:rsidRPr="00EC7273">
        <w:rPr>
          <w:rFonts w:ascii="Calibri" w:hAnsi="Calibri" w:cs="Calibri"/>
          <w:color w:val="auto"/>
          <w:sz w:val="22"/>
          <w:szCs w:val="22"/>
        </w:rPr>
        <w:t>a time period</w:t>
      </w:r>
      <w:proofErr w:type="gramEnd"/>
      <w:r w:rsidRPr="00EC7273">
        <w:rPr>
          <w:rFonts w:ascii="Calibri" w:hAnsi="Calibri" w:cs="Calibri"/>
          <w:color w:val="auto"/>
          <w:sz w:val="22"/>
          <w:szCs w:val="22"/>
        </w:rPr>
        <w:t xml:space="preserve"> of 6 months or the same time as the measurement period months, whichever is greater.</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medical insurance and other tax-favored benefits toward highly compensated individuals, key employees or owners. </w:t>
      </w:r>
    </w:p>
    <w:p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If employer has an HRA, p</w:t>
      </w:r>
      <w:r w:rsidR="00182CF4" w:rsidRPr="00EC7273">
        <w:rPr>
          <w:rFonts w:ascii="Calibri" w:hAnsi="Calibri" w:cs="Calibri"/>
          <w:color w:val="auto"/>
          <w:sz w:val="22"/>
          <w:szCs w:val="22"/>
        </w:rPr>
        <w:t xml:space="preserve">ays applicable Patient Centered Outcomes Research Institute fees by July 31st (PCORI Fees) of each year.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Periodically and timely review of carrier billing statements. </w:t>
      </w:r>
    </w:p>
    <w:p w:rsidR="00B219A8" w:rsidRDefault="00B219A8" w:rsidP="00182CF4">
      <w:pPr>
        <w:pStyle w:val="Subtitle"/>
      </w:pPr>
    </w:p>
    <w:p w:rsidR="00182CF4" w:rsidRPr="00EC7273" w:rsidRDefault="00182CF4" w:rsidP="00182CF4">
      <w:pPr>
        <w:pStyle w:val="Subtitle"/>
      </w:pPr>
      <w:r w:rsidRPr="00EC7273">
        <w:t xml:space="preserve">Benefit Termination / Qualifying Events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Timely notification to plan providers of employee termination date and time to remove them from coverage.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Sends qualifying event continuation of coverage (COBRA</w:t>
      </w:r>
      <w:r w:rsidR="00D23E39">
        <w:rPr>
          <w:rFonts w:ascii="Calibri" w:hAnsi="Calibri" w:cs="Calibri"/>
          <w:color w:val="auto"/>
          <w:sz w:val="22"/>
          <w:szCs w:val="22"/>
        </w:rPr>
        <w:t>/Viper</w:t>
      </w:r>
      <w:r w:rsidRPr="00EC7273">
        <w:rPr>
          <w:rFonts w:ascii="Calibri" w:hAnsi="Calibri" w:cs="Calibri"/>
          <w:color w:val="auto"/>
          <w:sz w:val="22"/>
          <w:szCs w:val="22"/>
        </w:rPr>
        <w:t xml:space="preserve">) notice to participant and beneficiaries (or notifies outsourced COBRA provider of the need to send notice). </w:t>
      </w:r>
    </w:p>
    <w:p w:rsidR="00182CF4" w:rsidRPr="00EC7273" w:rsidRDefault="00182CF4" w:rsidP="00182CF4">
      <w:pPr>
        <w:pStyle w:val="Default"/>
        <w:rPr>
          <w:rFonts w:ascii="Calibri" w:hAnsi="Calibri" w:cs="Calibri"/>
          <w:color w:val="auto"/>
          <w:sz w:val="22"/>
          <w:szCs w:val="22"/>
        </w:rPr>
      </w:pPr>
    </w:p>
    <w:p w:rsidR="00182CF4" w:rsidRPr="00EC7273" w:rsidRDefault="00182CF4" w:rsidP="00182CF4">
      <w:pPr>
        <w:pStyle w:val="Subtitle"/>
      </w:pPr>
      <w:r w:rsidRPr="00EC7273">
        <w:t xml:space="preserve">Documentation/Record Keeping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Documentation should be kept for 6 years following the end of the ERISA plan year (essentially 7 years)</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Maintains an ERISA Wrap Plan Document/Summary Plan Description.</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b/>
          <w:color w:val="auto"/>
          <w:sz w:val="22"/>
          <w:szCs w:val="22"/>
        </w:rPr>
        <w:t xml:space="preserve">ACA - </w:t>
      </w:r>
      <w:r w:rsidRPr="00B219A8">
        <w:rPr>
          <w:rFonts w:ascii="Calibri" w:hAnsi="Calibri" w:cs="Calibri"/>
          <w:color w:val="auto"/>
          <w:sz w:val="22"/>
          <w:szCs w:val="22"/>
        </w:rPr>
        <w:t xml:space="preserve">Maintains a written eligibility policy that defines the measurement, administrative and stability periods for full-time, part-time and variable hour employees.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Keeps record of all participants, whose coverage has been rescinded and 30-days </w:t>
      </w:r>
      <w:proofErr w:type="gramStart"/>
      <w:r w:rsidRPr="00B219A8">
        <w:rPr>
          <w:rFonts w:ascii="Calibri" w:hAnsi="Calibri" w:cs="Calibri"/>
          <w:color w:val="auto"/>
          <w:sz w:val="22"/>
          <w:szCs w:val="22"/>
        </w:rPr>
        <w:t>advance notice</w:t>
      </w:r>
      <w:proofErr w:type="gramEnd"/>
      <w:r w:rsidRPr="00B219A8">
        <w:rPr>
          <w:rFonts w:ascii="Calibri" w:hAnsi="Calibri" w:cs="Calibri"/>
          <w:color w:val="auto"/>
          <w:sz w:val="22"/>
          <w:szCs w:val="22"/>
        </w:rPr>
        <w:t xml:space="preserve"> of such rescission of coverage.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Maintains evidence of plan’s compliance with the Affordable Care Act and following all applicable requirements. </w:t>
      </w:r>
    </w:p>
    <w:p w:rsidR="00182CF4" w:rsidRDefault="00182CF4" w:rsidP="00182CF4">
      <w:pPr>
        <w:pStyle w:val="Subtitle"/>
      </w:pPr>
    </w:p>
    <w:p w:rsidR="0071137D" w:rsidRDefault="0071137D" w:rsidP="00182CF4">
      <w:pPr>
        <w:pStyle w:val="Subtitle"/>
      </w:pPr>
    </w:p>
    <w:p w:rsidR="00182CF4" w:rsidRPr="00EC7273" w:rsidRDefault="00182CF4" w:rsidP="00182CF4">
      <w:pPr>
        <w:pStyle w:val="Subtitle"/>
      </w:pPr>
      <w:r w:rsidRPr="00EC7273">
        <w:lastRenderedPageBreak/>
        <w:t xml:space="preserve">Open Enrollment/Communications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Reviews plan alternatives and coverage options annually looking out for the best interest of participants, beneficiaries and the company.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Allows participants to enroll or make changes to benefits once a year during open enrollment, unless they experience a qualifying event allowing an additional opportunity to make changes.</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Follows guidelines allowing participants to make changes mid-year for allowable qualifying events such as loss of coverage, marriage, new baby, divorce, etc.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Communicates all plan options, rights and rates to eligible participants, including COBRA participants and if applicable, Retirees.</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an application or waiver form from all eligible participants. </w:t>
      </w:r>
    </w:p>
    <w:p w:rsidR="00182CF4" w:rsidRPr="00EC7273" w:rsidRDefault="00182CF4" w:rsidP="00182CF4">
      <w:pPr>
        <w:pStyle w:val="Heading1"/>
      </w:pPr>
      <w:bookmarkStart w:id="1" w:name="_Toc519679167"/>
      <w:r w:rsidRPr="00EC7273">
        <w:rPr>
          <w:rStyle w:val="Heading1Char"/>
        </w:rPr>
        <w:t>Disclosure</w:t>
      </w:r>
      <w:r>
        <w:rPr>
          <w:rStyle w:val="Heading1Char"/>
        </w:rPr>
        <w:t>s</w:t>
      </w:r>
      <w:r w:rsidRPr="00EC7273">
        <w:rPr>
          <w:rStyle w:val="Heading1Char"/>
        </w:rPr>
        <w:t xml:space="preserve"> &amp; Notifications</w:t>
      </w:r>
      <w:bookmarkEnd w:id="1"/>
      <w:r w:rsidRPr="00EC7273">
        <w:rPr>
          <w:rFonts w:ascii="Calibri" w:hAnsi="Calibri" w:cs="Calibri"/>
          <w:b/>
          <w:bCs/>
          <w:color w:val="auto"/>
          <w:sz w:val="26"/>
          <w:szCs w:val="26"/>
        </w:rPr>
        <w:t xml:space="preserve"> </w:t>
      </w:r>
    </w:p>
    <w:p w:rsidR="00182CF4" w:rsidRPr="00EC7273" w:rsidRDefault="00182CF4" w:rsidP="00182CF4">
      <w:pPr>
        <w:pStyle w:val="Default"/>
        <w:rPr>
          <w:rFonts w:ascii="Calibri" w:hAnsi="Calibri" w:cs="Calibri"/>
          <w:color w:val="auto"/>
          <w:sz w:val="23"/>
          <w:szCs w:val="23"/>
        </w:rPr>
      </w:pPr>
      <w:r w:rsidRPr="00EC7273">
        <w:rPr>
          <w:rFonts w:ascii="Calibri" w:hAnsi="Calibri" w:cs="Calibri"/>
          <w:color w:val="auto"/>
          <w:sz w:val="23"/>
          <w:szCs w:val="23"/>
        </w:rPr>
        <w:t xml:space="preserve">If offering medical insurance, provide the following applicable notices to eligible participants and beneficiaries annually, unless noted otherwise: </w:t>
      </w:r>
    </w:p>
    <w:p w:rsidR="00182CF4" w:rsidRPr="00EC7273" w:rsidRDefault="00182CF4" w:rsidP="00182CF4">
      <w:pPr>
        <w:pStyle w:val="Default"/>
        <w:rPr>
          <w:rFonts w:ascii="Calibri" w:hAnsi="Calibri" w:cs="Calibri"/>
          <w:color w:val="auto"/>
          <w:sz w:val="23"/>
          <w:szCs w:val="23"/>
        </w:rPr>
      </w:pP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Summary of Benefits &amp; Coverage (SBC) - Given to new participants upon application and annually to all participants for renewal. </w:t>
      </w:r>
      <w:r w:rsidRPr="00EC7273">
        <w:rPr>
          <w:rFonts w:ascii="Calibri" w:hAnsi="Calibri" w:cs="Calibri"/>
          <w:i/>
          <w:color w:val="auto"/>
          <w:sz w:val="22"/>
          <w:szCs w:val="22"/>
        </w:rPr>
        <w:t>Failure to provide an SBC could be subject to a penalty of $1,105 per employee per failure to provide.</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SBC is also required 60 days in advance of a material modification not in conjunction with renewal.</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Employee Notice of Exchange (All employers to all employees) within 14 days of hire.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ACA required patient protection and provider selection notification (all medical plans, if applicable).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Initial COBRA Notice (20+ employees) or </w:t>
      </w:r>
      <w:r w:rsidR="00B219A8">
        <w:rPr>
          <w:rFonts w:ascii="Calibri" w:hAnsi="Calibri" w:cs="Calibri"/>
          <w:color w:val="auto"/>
          <w:sz w:val="22"/>
          <w:szCs w:val="22"/>
        </w:rPr>
        <w:t>Viper</w:t>
      </w:r>
      <w:r w:rsidR="00CA0AC0">
        <w:rPr>
          <w:rFonts w:ascii="Calibri" w:hAnsi="Calibri" w:cs="Calibri"/>
          <w:color w:val="auto"/>
          <w:sz w:val="22"/>
          <w:szCs w:val="22"/>
        </w:rPr>
        <w:t>/NH Continuation</w:t>
      </w:r>
      <w:r w:rsidR="00B219A8">
        <w:rPr>
          <w:rFonts w:ascii="Calibri" w:hAnsi="Calibri" w:cs="Calibri"/>
          <w:color w:val="auto"/>
          <w:sz w:val="22"/>
          <w:szCs w:val="22"/>
        </w:rPr>
        <w:t xml:space="preserve"> </w:t>
      </w:r>
      <w:r w:rsidRPr="00EC7273">
        <w:rPr>
          <w:rFonts w:ascii="Calibri" w:hAnsi="Calibri" w:cs="Calibri"/>
          <w:color w:val="auto"/>
          <w:sz w:val="22"/>
          <w:szCs w:val="22"/>
        </w:rPr>
        <w:t xml:space="preserve">notice (&lt; 20 employees).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Notice of Privacy Practices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Special enrollment rights notice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Women’s Health &amp; Cancer Rights Act Notice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Newborn’s and Mother’s Health Protect Act Notice.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Children’s Health Insurance Program (C</w:t>
      </w:r>
      <w:r w:rsidR="00CA0AC0">
        <w:rPr>
          <w:rFonts w:ascii="Calibri" w:hAnsi="Calibri" w:cs="Calibri"/>
          <w:color w:val="auto"/>
          <w:sz w:val="22"/>
          <w:szCs w:val="22"/>
        </w:rPr>
        <w:t>HIP) Reauthorization Act Notice.</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Medicare Part D Notice each year by October 15th (any participant eligible for Medicare – includes dependents). </w:t>
      </w:r>
    </w:p>
    <w:p w:rsidR="005E318E" w:rsidRPr="00EC7273" w:rsidRDefault="00E93E73" w:rsidP="00827179">
      <w:pPr>
        <w:pStyle w:val="Heading1"/>
        <w:rPr>
          <w:rStyle w:val="Heading1Char"/>
        </w:rPr>
      </w:pPr>
      <w:bookmarkStart w:id="2" w:name="_Toc519679168"/>
      <w:r w:rsidRPr="00EC7273">
        <w:rPr>
          <w:rStyle w:val="Heading1Char"/>
        </w:rPr>
        <w:t>COBRA</w:t>
      </w:r>
      <w:r w:rsidR="00903973">
        <w:rPr>
          <w:rStyle w:val="Heading1Char"/>
        </w:rPr>
        <w:t>/Viper</w:t>
      </w:r>
      <w:r w:rsidR="00B60124">
        <w:rPr>
          <w:rStyle w:val="Heading1Char"/>
        </w:rPr>
        <w:t>/NH Continuation of Coverage</w:t>
      </w:r>
      <w:r w:rsidRPr="00EC7273">
        <w:rPr>
          <w:rStyle w:val="Heading1Char"/>
        </w:rPr>
        <w:t xml:space="preserve"> Administration</w:t>
      </w:r>
      <w:bookmarkEnd w:id="2"/>
    </w:p>
    <w:p w:rsidR="00E93E73" w:rsidRPr="00A848EE" w:rsidRDefault="00A848EE" w:rsidP="00E93E73">
      <w:pPr>
        <w:pStyle w:val="Default"/>
        <w:rPr>
          <w:rFonts w:ascii="Calibri" w:hAnsi="Calibri" w:cs="Calibri"/>
          <w:color w:val="auto"/>
          <w:sz w:val="22"/>
          <w:szCs w:val="22"/>
          <w:u w:val="single"/>
        </w:rPr>
      </w:pPr>
      <w:r w:rsidRPr="00A848EE">
        <w:rPr>
          <w:rFonts w:ascii="Calibri" w:hAnsi="Calibri" w:cs="Calibri"/>
          <w:color w:val="auto"/>
          <w:sz w:val="22"/>
          <w:szCs w:val="22"/>
          <w:u w:val="single"/>
        </w:rPr>
        <w:t>VT/NH E</w:t>
      </w:r>
      <w:r w:rsidR="003C254F" w:rsidRPr="00A848EE">
        <w:rPr>
          <w:rFonts w:ascii="Calibri" w:hAnsi="Calibri" w:cs="Calibri"/>
          <w:color w:val="auto"/>
          <w:sz w:val="22"/>
          <w:szCs w:val="22"/>
          <w:u w:val="single"/>
        </w:rPr>
        <w:t xml:space="preserve">mployers with 20 or more employees </w:t>
      </w:r>
    </w:p>
    <w:p w:rsidR="00195DFE" w:rsidRPr="00EC7273" w:rsidRDefault="00195DFE"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COBRA administration policy and procedures or outsources COBRA administration to ensure all rights and responsibilities are met.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initial/general COBRA notice to new participants within 90-days of joining the plan.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qualifying event or election notices within 14-days of a qualifying event such as termination of employment and other loss of coverage events.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COBRA participant’s premium payments and pays on their behalf to insurance providers.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COBRA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COBRA rights for past employees and eligible dependents.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notice of unavailable continuation of coverage for the following: </w:t>
      </w:r>
    </w:p>
    <w:p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someone applies for continuation coverage and is not eligible. </w:t>
      </w:r>
    </w:p>
    <w:p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participants are 30-days or </w:t>
      </w:r>
      <w:proofErr w:type="gramStart"/>
      <w:r w:rsidRPr="00EC7273">
        <w:rPr>
          <w:rFonts w:ascii="Calibri" w:hAnsi="Calibri" w:cs="Calibri"/>
          <w:color w:val="auto"/>
          <w:sz w:val="22"/>
          <w:szCs w:val="22"/>
        </w:rPr>
        <w:t>later on</w:t>
      </w:r>
      <w:proofErr w:type="gramEnd"/>
      <w:r w:rsidRPr="00EC7273">
        <w:rPr>
          <w:rFonts w:ascii="Calibri" w:hAnsi="Calibri" w:cs="Calibri"/>
          <w:color w:val="auto"/>
          <w:sz w:val="22"/>
          <w:szCs w:val="22"/>
        </w:rPr>
        <w:t xml:space="preserve"> making COBRA premium payment. </w:t>
      </w:r>
    </w:p>
    <w:p w:rsidR="00DC1F70" w:rsidRPr="00EC7273" w:rsidRDefault="00E93E73" w:rsidP="00F714E7">
      <w:pPr>
        <w:pStyle w:val="Default"/>
        <w:numPr>
          <w:ilvl w:val="1"/>
          <w:numId w:val="4"/>
        </w:numPr>
        <w:spacing w:after="30"/>
        <w:rPr>
          <w:rFonts w:ascii="Calibri" w:hAnsi="Calibri" w:cs="Calibri"/>
          <w:color w:val="auto"/>
          <w:sz w:val="22"/>
          <w:szCs w:val="22"/>
        </w:rPr>
      </w:pPr>
      <w:r w:rsidRPr="00EC7273">
        <w:rPr>
          <w:rFonts w:ascii="Calibri" w:hAnsi="Calibri" w:cs="Calibri"/>
          <w:color w:val="auto"/>
          <w:sz w:val="22"/>
          <w:szCs w:val="22"/>
        </w:rPr>
        <w:t xml:space="preserve">When the plan is about to terminate. </w:t>
      </w:r>
    </w:p>
    <w:p w:rsidR="00E93E73" w:rsidRDefault="00DC1F70" w:rsidP="00DC1F70">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lastRenderedPageBreak/>
        <w:t>P</w:t>
      </w:r>
      <w:r w:rsidR="00E93E73" w:rsidRPr="00EC7273">
        <w:rPr>
          <w:rFonts w:ascii="Calibri" w:hAnsi="Calibri" w:cs="Calibri"/>
          <w:color w:val="auto"/>
          <w:sz w:val="22"/>
          <w:szCs w:val="22"/>
        </w:rPr>
        <w:t xml:space="preserve">rovides details about the date the plan terminates, reason for termination and applicable rights, if any. </w:t>
      </w:r>
    </w:p>
    <w:p w:rsidR="00A848EE" w:rsidRPr="00A848EE" w:rsidRDefault="00A848EE" w:rsidP="00A848EE">
      <w:pPr>
        <w:pStyle w:val="Default"/>
        <w:rPr>
          <w:rFonts w:ascii="Calibri" w:hAnsi="Calibri" w:cs="Calibri"/>
          <w:color w:val="auto"/>
          <w:sz w:val="22"/>
          <w:szCs w:val="22"/>
          <w:u w:val="single"/>
        </w:rPr>
      </w:pPr>
      <w:r w:rsidRPr="00A848EE">
        <w:rPr>
          <w:rFonts w:ascii="Calibri" w:hAnsi="Calibri" w:cs="Calibri"/>
          <w:color w:val="auto"/>
          <w:sz w:val="22"/>
          <w:szCs w:val="22"/>
          <w:u w:val="single"/>
        </w:rPr>
        <w:t xml:space="preserve">VT Employers with </w:t>
      </w:r>
      <w:r>
        <w:rPr>
          <w:rFonts w:ascii="Calibri" w:hAnsi="Calibri" w:cs="Calibri"/>
          <w:color w:val="auto"/>
          <w:sz w:val="22"/>
          <w:szCs w:val="22"/>
          <w:u w:val="single"/>
        </w:rPr>
        <w:t>fewer than 20 employees (Viper)</w:t>
      </w:r>
    </w:p>
    <w:p w:rsidR="00A848EE" w:rsidRDefault="00A848EE"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 xml:space="preserve">Employers must notify former employee of Viper rights within 30 days following </w:t>
      </w:r>
      <w:r w:rsidR="002000A2">
        <w:rPr>
          <w:rFonts w:ascii="Calibri" w:hAnsi="Calibri" w:cs="Calibri"/>
          <w:color w:val="auto"/>
          <w:sz w:val="22"/>
          <w:szCs w:val="22"/>
        </w:rPr>
        <w:t>qualifying event.</w:t>
      </w:r>
    </w:p>
    <w:p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Viper participant has 60 days to notify the insurer in writing if they want to continue coverage.</w:t>
      </w:r>
    </w:p>
    <w:p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Initial premium must be paid to the insurance company within 60 days after receiving Viper rights notice.</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Viper</w:t>
      </w:r>
      <w:r w:rsidRPr="00EC7273">
        <w:rPr>
          <w:rFonts w:ascii="Calibri" w:hAnsi="Calibri" w:cs="Calibri"/>
          <w:color w:val="auto"/>
          <w:sz w:val="22"/>
          <w:szCs w:val="22"/>
        </w:rPr>
        <w:t xml:space="preserve"> participant’s premium payments and pays on their behalf to insurance providers.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Viper</w:t>
      </w:r>
      <w:r w:rsidRPr="00EC7273">
        <w:rPr>
          <w:rFonts w:ascii="Calibri" w:hAnsi="Calibri" w:cs="Calibri"/>
          <w:color w:val="auto"/>
          <w:sz w:val="22"/>
          <w:szCs w:val="22"/>
        </w:rPr>
        <w:t xml:space="preserve">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Viper</w:t>
      </w:r>
      <w:r w:rsidRPr="00EC7273">
        <w:rPr>
          <w:rFonts w:ascii="Calibri" w:hAnsi="Calibri" w:cs="Calibri"/>
          <w:color w:val="auto"/>
          <w:sz w:val="22"/>
          <w:szCs w:val="22"/>
        </w:rPr>
        <w:t xml:space="preserve"> rights for past employees and eligible dependents.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A848EE" w:rsidRPr="00A848EE" w:rsidRDefault="00A848EE" w:rsidP="00A848EE">
      <w:pPr>
        <w:pStyle w:val="Default"/>
        <w:spacing w:after="30"/>
        <w:rPr>
          <w:rFonts w:ascii="Calibri" w:hAnsi="Calibri" w:cs="Calibri"/>
          <w:color w:val="auto"/>
          <w:sz w:val="22"/>
          <w:szCs w:val="22"/>
          <w:u w:val="single"/>
        </w:rPr>
      </w:pPr>
      <w:r w:rsidRPr="00A848EE">
        <w:rPr>
          <w:rFonts w:ascii="Calibri" w:hAnsi="Calibri" w:cs="Calibri"/>
          <w:color w:val="auto"/>
          <w:sz w:val="22"/>
          <w:szCs w:val="22"/>
          <w:u w:val="single"/>
        </w:rPr>
        <w:t>NH Employers with fewer than 20 employees</w:t>
      </w:r>
    </w:p>
    <w:p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Employers must notify former employee of NH Continuation Law rights within 30 days following qualifying event.</w:t>
      </w:r>
    </w:p>
    <w:p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Initial premium must be paid to the employer within 45 days after receiving Continuation rights notice.</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Continuation</w:t>
      </w:r>
      <w:r w:rsidRPr="00EC7273">
        <w:rPr>
          <w:rFonts w:ascii="Calibri" w:hAnsi="Calibri" w:cs="Calibri"/>
          <w:color w:val="auto"/>
          <w:sz w:val="22"/>
          <w:szCs w:val="22"/>
        </w:rPr>
        <w:t xml:space="preserve"> participant’s premium payments and pays on their behalf to insurance providers.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Continuation</w:t>
      </w:r>
      <w:r w:rsidRPr="00EC7273">
        <w:rPr>
          <w:rFonts w:ascii="Calibri" w:hAnsi="Calibri" w:cs="Calibri"/>
          <w:color w:val="auto"/>
          <w:sz w:val="22"/>
          <w:szCs w:val="22"/>
        </w:rPr>
        <w:t xml:space="preserve">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Continuation</w:t>
      </w:r>
      <w:r w:rsidRPr="00EC7273">
        <w:rPr>
          <w:rFonts w:ascii="Calibri" w:hAnsi="Calibri" w:cs="Calibri"/>
          <w:color w:val="auto"/>
          <w:sz w:val="22"/>
          <w:szCs w:val="22"/>
        </w:rPr>
        <w:t xml:space="preserve"> rights for past employees and eligible dependents.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5E318E" w:rsidRPr="00EC7273" w:rsidRDefault="00E93E73" w:rsidP="00827179">
      <w:pPr>
        <w:pStyle w:val="Heading1"/>
        <w:rPr>
          <w:rStyle w:val="Heading1Char"/>
        </w:rPr>
      </w:pPr>
      <w:bookmarkStart w:id="3" w:name="_Toc519679169"/>
      <w:r w:rsidRPr="00EC7273">
        <w:rPr>
          <w:rStyle w:val="Heading1Char"/>
        </w:rPr>
        <w:t>Flexible Spending Accounts</w:t>
      </w:r>
      <w:r w:rsidR="00D23E39">
        <w:rPr>
          <w:rStyle w:val="Heading1Char"/>
        </w:rPr>
        <w:t xml:space="preserve"> </w:t>
      </w:r>
      <w:r w:rsidR="00D23E39" w:rsidRPr="00EC7273">
        <w:rPr>
          <w:rFonts w:ascii="Calibri" w:hAnsi="Calibri" w:cs="Calibri"/>
          <w:color w:val="auto"/>
          <w:sz w:val="22"/>
          <w:szCs w:val="22"/>
        </w:rPr>
        <w:t>(if applicable)</w:t>
      </w:r>
      <w:bookmarkEnd w:id="3"/>
    </w:p>
    <w:p w:rsidR="00E93E73" w:rsidRPr="00EC7273" w:rsidRDefault="00195DFE" w:rsidP="00E93E73">
      <w:pPr>
        <w:pStyle w:val="Default"/>
        <w:rPr>
          <w:rFonts w:ascii="Calibri" w:hAnsi="Calibri" w:cs="Calibri"/>
          <w:color w:val="auto"/>
          <w:sz w:val="22"/>
          <w:szCs w:val="22"/>
        </w:rPr>
      </w:pPr>
      <w:r w:rsidRPr="00EC7273">
        <w:rPr>
          <w:rFonts w:ascii="Calibri" w:hAnsi="Calibri" w:cs="Calibri"/>
          <w:color w:val="auto"/>
          <w:sz w:val="22"/>
          <w:szCs w:val="22"/>
        </w:rPr>
        <w:t>(A written plan document is required if</w:t>
      </w:r>
      <w:r w:rsidR="003C254F" w:rsidRPr="00EC7273">
        <w:rPr>
          <w:rFonts w:ascii="Calibri" w:hAnsi="Calibri" w:cs="Calibri"/>
          <w:color w:val="auto"/>
          <w:sz w:val="22"/>
          <w:szCs w:val="22"/>
        </w:rPr>
        <w:t xml:space="preserve"> </w:t>
      </w:r>
      <w:r w:rsidR="00E93E73" w:rsidRPr="00EC7273">
        <w:rPr>
          <w:rFonts w:ascii="Calibri" w:hAnsi="Calibri" w:cs="Calibri"/>
          <w:color w:val="auto"/>
          <w:sz w:val="22"/>
          <w:szCs w:val="22"/>
        </w:rPr>
        <w:t>allowing payment of eligible premiums on a pre-tax basis and/or allowing payment of eligible uncovered medical cost or work related dependent care on a pre-tax basis</w:t>
      </w:r>
      <w:r w:rsidR="0087156E">
        <w:rPr>
          <w:rFonts w:ascii="Calibri" w:hAnsi="Calibri" w:cs="Calibri"/>
          <w:color w:val="auto"/>
          <w:sz w:val="22"/>
          <w:szCs w:val="22"/>
        </w:rPr>
        <w:t>.</w:t>
      </w:r>
      <w:r w:rsidR="00E93E73" w:rsidRPr="00EC7273">
        <w:rPr>
          <w:rFonts w:ascii="Calibri" w:hAnsi="Calibri" w:cs="Calibri"/>
          <w:color w:val="auto"/>
          <w:sz w:val="22"/>
          <w:szCs w:val="22"/>
        </w:rPr>
        <w:t xml:space="preserve">) </w:t>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estimate contributions for medical and/or dependent care spending accounts at the beginning of the year with deductions coming out each pay period. </w:t>
      </w:r>
    </w:p>
    <w:p w:rsidR="0046755A"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Changes to contribution levels are not allowed, unless participant experiences a mid-year qualifying event.</w:t>
      </w:r>
    </w:p>
    <w:p w:rsidR="0046755A" w:rsidRPr="00EC7273" w:rsidRDefault="0046755A"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w:t>
      </w:r>
      <w:proofErr w:type="gramStart"/>
      <w:r w:rsidRPr="00EC7273">
        <w:rPr>
          <w:rFonts w:ascii="Calibri" w:hAnsi="Calibri" w:cs="Calibri"/>
          <w:color w:val="auto"/>
          <w:sz w:val="22"/>
          <w:szCs w:val="22"/>
        </w:rPr>
        <w:t>are allowed to</w:t>
      </w:r>
      <w:proofErr w:type="gramEnd"/>
      <w:r w:rsidRPr="00EC7273">
        <w:rPr>
          <w:rFonts w:ascii="Calibri" w:hAnsi="Calibri" w:cs="Calibri"/>
          <w:color w:val="auto"/>
          <w:sz w:val="22"/>
          <w:szCs w:val="22"/>
        </w:rPr>
        <w:t xml:space="preserve"> make annual c</w:t>
      </w:r>
      <w:r w:rsidR="00E93E73" w:rsidRPr="00EC7273">
        <w:rPr>
          <w:rFonts w:ascii="Calibri" w:hAnsi="Calibri" w:cs="Calibri"/>
          <w:color w:val="auto"/>
          <w:sz w:val="22"/>
          <w:szCs w:val="22"/>
        </w:rPr>
        <w:t>hanges</w:t>
      </w:r>
      <w:r w:rsidRPr="00EC7273">
        <w:rPr>
          <w:rFonts w:ascii="Calibri" w:hAnsi="Calibri" w:cs="Calibri"/>
          <w:color w:val="auto"/>
          <w:sz w:val="22"/>
          <w:szCs w:val="22"/>
        </w:rPr>
        <w:t xml:space="preserve"> </w:t>
      </w:r>
      <w:r w:rsidR="00E93E73" w:rsidRPr="00EC7273">
        <w:rPr>
          <w:rFonts w:ascii="Calibri" w:hAnsi="Calibri" w:cs="Calibri"/>
          <w:color w:val="auto"/>
          <w:sz w:val="22"/>
          <w:szCs w:val="22"/>
        </w:rPr>
        <w:t>during open enrollment</w:t>
      </w:r>
      <w:r w:rsidRPr="00EC7273">
        <w:rPr>
          <w:rFonts w:ascii="Calibri" w:hAnsi="Calibri" w:cs="Calibri"/>
          <w:color w:val="auto"/>
          <w:sz w:val="22"/>
          <w:szCs w:val="22"/>
        </w:rPr>
        <w:t>.</w:t>
      </w:r>
    </w:p>
    <w:p w:rsidR="00E93E73" w:rsidRPr="00EC7273" w:rsidRDefault="00E93E73"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Contribution amounts for medical FSA are limited to not more than $2,</w:t>
      </w:r>
      <w:r w:rsidR="0046755A" w:rsidRPr="00EC7273">
        <w:rPr>
          <w:rFonts w:ascii="Calibri" w:hAnsi="Calibri" w:cs="Calibri"/>
          <w:color w:val="auto"/>
          <w:sz w:val="22"/>
          <w:szCs w:val="22"/>
        </w:rPr>
        <w:t>6</w:t>
      </w:r>
      <w:r w:rsidR="0087156E">
        <w:rPr>
          <w:rFonts w:ascii="Calibri" w:hAnsi="Calibri" w:cs="Calibri"/>
          <w:color w:val="auto"/>
          <w:sz w:val="22"/>
          <w:szCs w:val="22"/>
        </w:rPr>
        <w:t>5</w:t>
      </w:r>
      <w:r w:rsidRPr="00EC7273">
        <w:rPr>
          <w:rFonts w:ascii="Calibri" w:hAnsi="Calibri" w:cs="Calibri"/>
          <w:color w:val="auto"/>
          <w:sz w:val="22"/>
          <w:szCs w:val="22"/>
        </w:rPr>
        <w:t>0 (</w:t>
      </w:r>
      <w:r w:rsidR="00957F57" w:rsidRPr="00EC7273">
        <w:rPr>
          <w:rFonts w:ascii="Calibri" w:hAnsi="Calibri" w:cs="Calibri"/>
          <w:color w:val="auto"/>
          <w:sz w:val="22"/>
          <w:szCs w:val="22"/>
        </w:rPr>
        <w:t>201</w:t>
      </w:r>
      <w:r w:rsidR="0087156E">
        <w:rPr>
          <w:rFonts w:ascii="Calibri" w:hAnsi="Calibri" w:cs="Calibri"/>
          <w:color w:val="auto"/>
          <w:sz w:val="22"/>
          <w:szCs w:val="22"/>
        </w:rPr>
        <w:t>8</w:t>
      </w:r>
      <w:r w:rsidR="0046755A" w:rsidRPr="00EC7273">
        <w:rPr>
          <w:rFonts w:ascii="Calibri" w:hAnsi="Calibri" w:cs="Calibri"/>
          <w:color w:val="auto"/>
          <w:sz w:val="22"/>
          <w:szCs w:val="22"/>
        </w:rPr>
        <w:t>) (N</w:t>
      </w:r>
      <w:r w:rsidR="00957F57" w:rsidRPr="00EC7273">
        <w:rPr>
          <w:rFonts w:ascii="Calibri" w:hAnsi="Calibri" w:cs="Calibri"/>
          <w:color w:val="auto"/>
          <w:sz w:val="22"/>
          <w:szCs w:val="22"/>
        </w:rPr>
        <w:t>ew</w:t>
      </w:r>
      <w:r w:rsidRPr="00EC7273">
        <w:rPr>
          <w:rFonts w:ascii="Calibri" w:hAnsi="Calibri" w:cs="Calibri"/>
          <w:color w:val="auto"/>
          <w:sz w:val="22"/>
          <w:szCs w:val="22"/>
        </w:rPr>
        <w:t xml:space="preserve"> annual limit each year). </w:t>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Distributions to FSA medical and dependent care are only allowed for eligible expenses. </w:t>
      </w:r>
    </w:p>
    <w:p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Unused contributions are subject to “use-it-or-lose-it”. Employees are not directly refunded estimated deductions, and they do not carry over to the next year except as define here. </w:t>
      </w:r>
    </w:p>
    <w:p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If written into your plan, you may allow a grace period of up to 2.5 months after the end of the plan year to allow qualified deductions. </w:t>
      </w:r>
    </w:p>
    <w:p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Plans may allow up to $500 of unused amounts remaining at the end of the plan year for medical expenses incurred in the following year. </w:t>
      </w:r>
    </w:p>
    <w:p w:rsidR="00E93E73" w:rsidRPr="00EC7273" w:rsidRDefault="00DC1F70" w:rsidP="00DC1F70">
      <w:pPr>
        <w:pStyle w:val="Default"/>
        <w:numPr>
          <w:ilvl w:val="2"/>
          <w:numId w:val="4"/>
        </w:numPr>
        <w:spacing w:after="13"/>
        <w:rPr>
          <w:rFonts w:ascii="Calibri" w:hAnsi="Calibri" w:cs="Calibri"/>
          <w:color w:val="auto"/>
          <w:sz w:val="22"/>
          <w:szCs w:val="22"/>
        </w:rPr>
      </w:pPr>
      <w:r w:rsidRPr="00EC7273">
        <w:rPr>
          <w:rFonts w:ascii="Calibri" w:hAnsi="Calibri" w:cs="Calibri"/>
          <w:color w:val="auto"/>
          <w:sz w:val="22"/>
          <w:szCs w:val="22"/>
        </w:rPr>
        <w:t>T</w:t>
      </w:r>
      <w:r w:rsidR="00E93E73" w:rsidRPr="00EC7273">
        <w:rPr>
          <w:rFonts w:ascii="Calibri" w:hAnsi="Calibri" w:cs="Calibri"/>
          <w:color w:val="auto"/>
          <w:sz w:val="22"/>
          <w:szCs w:val="22"/>
        </w:rPr>
        <w:t xml:space="preserve">he plan may allow either the grace period or a carryover, but not both. </w:t>
      </w:r>
    </w:p>
    <w:p w:rsidR="0076002A" w:rsidRPr="00EC7273" w:rsidRDefault="0076002A" w:rsidP="0076002A">
      <w:pPr>
        <w:pStyle w:val="BodyText"/>
        <w:numPr>
          <w:ilvl w:val="0"/>
          <w:numId w:val="4"/>
        </w:numPr>
        <w:spacing w:line="276" w:lineRule="auto"/>
        <w:ind w:right="284"/>
        <w:rPr>
          <w:rFonts w:cs="Calibri"/>
          <w:spacing w:val="-1"/>
        </w:rPr>
      </w:pPr>
      <w:r w:rsidRPr="00EC7273">
        <w:rPr>
          <w:rFonts w:cs="Calibri"/>
          <w:spacing w:val="-1"/>
        </w:rPr>
        <w:t xml:space="preserve">It is the employer’s responsibility to distribute the Section 125 Health Flexible Spending Account and/or Dependent Care Account summary plan description(s) to plan participants.  </w:t>
      </w:r>
    </w:p>
    <w:p w:rsidR="00E93E73" w:rsidRPr="00EC7273" w:rsidRDefault="00E93E73" w:rsidP="00827179">
      <w:pPr>
        <w:pStyle w:val="Heading1"/>
        <w:rPr>
          <w:color w:val="auto"/>
          <w:sz w:val="22"/>
          <w:szCs w:val="22"/>
        </w:rPr>
      </w:pPr>
      <w:bookmarkStart w:id="4" w:name="_Toc519679170"/>
      <w:r w:rsidRPr="00EC7273">
        <w:rPr>
          <w:rStyle w:val="Heading1Char"/>
        </w:rPr>
        <w:t xml:space="preserve">Health Reimbursement Accounts </w:t>
      </w:r>
      <w:bookmarkStart w:id="5" w:name="_Hlk519243920"/>
      <w:r w:rsidRPr="00EC7273">
        <w:rPr>
          <w:rFonts w:ascii="Calibri" w:hAnsi="Calibri" w:cs="Calibri"/>
          <w:color w:val="auto"/>
          <w:sz w:val="22"/>
          <w:szCs w:val="22"/>
        </w:rPr>
        <w:t>(if applicable)</w:t>
      </w:r>
      <w:bookmarkEnd w:id="4"/>
      <w:r w:rsidRPr="00EC7273">
        <w:rPr>
          <w:rFonts w:ascii="Calibri" w:hAnsi="Calibri" w:cs="Calibri"/>
          <w:color w:val="auto"/>
          <w:sz w:val="22"/>
          <w:szCs w:val="22"/>
        </w:rPr>
        <w:t xml:space="preserve"> </w:t>
      </w:r>
      <w:bookmarkEnd w:id="5"/>
    </w:p>
    <w:p w:rsidR="00366F7D" w:rsidRPr="00EC7273" w:rsidRDefault="00366F7D"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Administers plan according to plan provisions (i.e. if HRA funds </w:t>
      </w:r>
      <w:proofErr w:type="gramStart"/>
      <w:r w:rsidRPr="00EC7273">
        <w:rPr>
          <w:rFonts w:ascii="Calibri" w:hAnsi="Calibri" w:cs="Calibri"/>
          <w:color w:val="auto"/>
          <w:sz w:val="22"/>
          <w:szCs w:val="22"/>
        </w:rPr>
        <w:t>are allowed to</w:t>
      </w:r>
      <w:proofErr w:type="gramEnd"/>
      <w:r w:rsidRPr="00EC7273">
        <w:rPr>
          <w:rFonts w:ascii="Calibri" w:hAnsi="Calibri" w:cs="Calibri"/>
          <w:color w:val="auto"/>
          <w:sz w:val="22"/>
          <w:szCs w:val="22"/>
        </w:rPr>
        <w:t xml:space="preserve"> be rolled over to the next year, proper accounting and funding is established; if no rollover provision, participants are notified prior to enrollment). </w:t>
      </w:r>
    </w:p>
    <w:p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Solely funded by the employer. No salary deductions are allowed by participants.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lastRenderedPageBreak/>
        <w:t xml:space="preserve">Reimburses eligible participants for qualified medical expenses up to the maximum amount for a coverage period on a tax-free basis. </w:t>
      </w:r>
    </w:p>
    <w:p w:rsidR="00E93E73"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Employer is not required to report o</w:t>
      </w:r>
      <w:r w:rsidR="00E93E73" w:rsidRPr="00EC7273">
        <w:rPr>
          <w:rFonts w:ascii="Calibri" w:hAnsi="Calibri" w:cs="Calibri"/>
          <w:color w:val="auto"/>
          <w:sz w:val="22"/>
          <w:szCs w:val="22"/>
        </w:rPr>
        <w:t xml:space="preserve">n W-2 or show as wages.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self-employed individuals to participate. </w:t>
      </w:r>
    </w:p>
    <w:p w:rsidR="00E93E73" w:rsidRPr="00EC7273" w:rsidRDefault="00E93E73" w:rsidP="00827179">
      <w:pPr>
        <w:pStyle w:val="Heading1"/>
        <w:rPr>
          <w:color w:val="auto"/>
          <w:sz w:val="22"/>
          <w:szCs w:val="22"/>
        </w:rPr>
      </w:pPr>
      <w:bookmarkStart w:id="6" w:name="_Toc519679171"/>
      <w:r w:rsidRPr="00EC7273">
        <w:rPr>
          <w:rStyle w:val="Heading1Char"/>
        </w:rPr>
        <w:t>Health Savings Accounts</w:t>
      </w:r>
      <w:r w:rsidRPr="00EC7273">
        <w:rPr>
          <w:rFonts w:ascii="Calibri" w:hAnsi="Calibri" w:cs="Calibri"/>
          <w:b/>
          <w:bCs/>
          <w:color w:val="auto"/>
          <w:sz w:val="26"/>
          <w:szCs w:val="26"/>
        </w:rPr>
        <w:t xml:space="preserve"> </w:t>
      </w:r>
      <w:r w:rsidRPr="00EC7273">
        <w:rPr>
          <w:rFonts w:ascii="Calibri" w:hAnsi="Calibri" w:cs="Calibri"/>
          <w:color w:val="auto"/>
          <w:sz w:val="22"/>
          <w:szCs w:val="22"/>
        </w:rPr>
        <w:t>(if applicable)</w:t>
      </w:r>
      <w:bookmarkEnd w:id="6"/>
      <w:r w:rsidRPr="00EC7273">
        <w:rPr>
          <w:rFonts w:ascii="Calibri" w:hAnsi="Calibri" w:cs="Calibri"/>
          <w:color w:val="auto"/>
          <w:sz w:val="22"/>
          <w:szCs w:val="22"/>
        </w:rPr>
        <w:t xml:space="preserve"> </w:t>
      </w:r>
    </w:p>
    <w:p w:rsidR="003E37F0" w:rsidRPr="00EC7273" w:rsidRDefault="003E37F0"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Employer understands employer contributions are subject to comparability rules if contributions are made outside of a cafeteria plan.</w:t>
      </w:r>
    </w:p>
    <w:p w:rsidR="003C254F" w:rsidRPr="00EC7273" w:rsidRDefault="003E37F0"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HSA is only </w:t>
      </w:r>
      <w:r w:rsidR="00E93E73" w:rsidRPr="00EC7273">
        <w:rPr>
          <w:rFonts w:ascii="Calibri" w:hAnsi="Calibri" w:cs="Calibri"/>
          <w:color w:val="auto"/>
          <w:sz w:val="22"/>
          <w:szCs w:val="22"/>
        </w:rPr>
        <w:t xml:space="preserve">made available only to participants in a high deductible health plan (HDHP) </w:t>
      </w:r>
    </w:p>
    <w:p w:rsidR="003E37F0"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cannot participate in an HSA and FSA, unless the FSA is a “limited” FSA plan. This includes coverage through a spouse. </w:t>
      </w:r>
    </w:p>
    <w:p w:rsidR="003E37F0" w:rsidRPr="00EC7273" w:rsidRDefault="003E37F0" w:rsidP="003E37F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Reimbursements are allowed only for eligible medical expenses. </w:t>
      </w:r>
    </w:p>
    <w:p w:rsidR="003C254F" w:rsidRPr="00EC7273" w:rsidRDefault="003C254F"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HDHP minimum deductible amounts </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$1,300</w:t>
      </w:r>
      <w:r w:rsidR="003E37F0" w:rsidRPr="00EC7273">
        <w:rPr>
          <w:rFonts w:ascii="Calibri" w:hAnsi="Calibri" w:cs="Calibri"/>
          <w:color w:val="auto"/>
          <w:sz w:val="22"/>
          <w:szCs w:val="22"/>
        </w:rPr>
        <w:t xml:space="preserve"> (2017) / $1,350 (2018)</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$2,600</w:t>
      </w:r>
      <w:r w:rsidR="003E37F0" w:rsidRPr="00EC7273">
        <w:rPr>
          <w:rFonts w:ascii="Calibri" w:hAnsi="Calibri" w:cs="Calibri"/>
          <w:color w:val="auto"/>
          <w:sz w:val="22"/>
          <w:szCs w:val="22"/>
        </w:rPr>
        <w:t xml:space="preserve"> (2017)</w:t>
      </w:r>
      <w:r w:rsidR="00EC7273">
        <w:rPr>
          <w:rFonts w:ascii="Calibri" w:hAnsi="Calibri" w:cs="Calibri"/>
          <w:color w:val="auto"/>
          <w:sz w:val="22"/>
          <w:szCs w:val="22"/>
        </w:rPr>
        <w:t xml:space="preserve">/ </w:t>
      </w:r>
      <w:r w:rsidR="003E37F0" w:rsidRPr="00EC7273">
        <w:rPr>
          <w:rFonts w:ascii="Calibri" w:hAnsi="Calibri" w:cs="Calibri"/>
          <w:color w:val="auto"/>
          <w:sz w:val="22"/>
          <w:szCs w:val="22"/>
        </w:rPr>
        <w:t>$2,700 (2018)</w:t>
      </w:r>
    </w:p>
    <w:p w:rsidR="003C254F" w:rsidRPr="00EC7273" w:rsidRDefault="003C254F"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HDHP maximum out-of-pocket amounts </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$6,550</w:t>
      </w:r>
      <w:r w:rsidR="003E37F0" w:rsidRPr="00EC7273">
        <w:rPr>
          <w:rFonts w:ascii="Calibri" w:hAnsi="Calibri" w:cs="Calibri"/>
          <w:color w:val="auto"/>
          <w:sz w:val="22"/>
          <w:szCs w:val="22"/>
        </w:rPr>
        <w:t xml:space="preserve"> (2017) / $6,650 (2018)</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$13,100</w:t>
      </w:r>
      <w:r w:rsidR="003E37F0" w:rsidRPr="00EC7273">
        <w:rPr>
          <w:rFonts w:ascii="Calibri" w:hAnsi="Calibri" w:cs="Calibri"/>
          <w:color w:val="auto"/>
          <w:sz w:val="22"/>
          <w:szCs w:val="22"/>
        </w:rPr>
        <w:t xml:space="preserve"> (2017) / $13,300 (2018)</w:t>
      </w:r>
    </w:p>
    <w:p w:rsidR="00E93E73" w:rsidRPr="00EC7273" w:rsidRDefault="00E93E73"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contributions </w:t>
      </w:r>
      <w:proofErr w:type="gramStart"/>
      <w:r w:rsidRPr="00EC7273">
        <w:rPr>
          <w:rFonts w:ascii="Calibri" w:hAnsi="Calibri" w:cs="Calibri"/>
          <w:color w:val="auto"/>
          <w:sz w:val="22"/>
          <w:szCs w:val="22"/>
        </w:rPr>
        <w:t>in excess of</w:t>
      </w:r>
      <w:proofErr w:type="gramEnd"/>
      <w:r w:rsidRPr="00EC7273">
        <w:rPr>
          <w:rFonts w:ascii="Calibri" w:hAnsi="Calibri" w:cs="Calibri"/>
          <w:color w:val="auto"/>
          <w:sz w:val="22"/>
          <w:szCs w:val="22"/>
        </w:rPr>
        <w:t xml:space="preserve"> HSA limits allowed on a pre-tax basis: </w:t>
      </w:r>
    </w:p>
    <w:p w:rsidR="00E93E73" w:rsidRPr="00EC7273" w:rsidRDefault="00E93E73" w:rsidP="00DC1F7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$3,</w:t>
      </w:r>
      <w:r w:rsidR="003E37F0" w:rsidRPr="00EC7273">
        <w:rPr>
          <w:rFonts w:ascii="Calibri" w:hAnsi="Calibri" w:cs="Calibri"/>
          <w:color w:val="auto"/>
          <w:sz w:val="22"/>
          <w:szCs w:val="22"/>
        </w:rPr>
        <w:t>400</w:t>
      </w:r>
      <w:r w:rsidRPr="00EC7273">
        <w:rPr>
          <w:rFonts w:ascii="Calibri" w:hAnsi="Calibri" w:cs="Calibri"/>
          <w:color w:val="auto"/>
          <w:sz w:val="22"/>
          <w:szCs w:val="22"/>
        </w:rPr>
        <w:t xml:space="preserve"> (201</w:t>
      </w:r>
      <w:r w:rsidR="003E37F0" w:rsidRPr="00EC7273">
        <w:rPr>
          <w:rFonts w:ascii="Calibri" w:hAnsi="Calibri" w:cs="Calibri"/>
          <w:color w:val="auto"/>
          <w:sz w:val="22"/>
          <w:szCs w:val="22"/>
        </w:rPr>
        <w:t>7</w:t>
      </w:r>
      <w:r w:rsidRPr="00EC7273">
        <w:rPr>
          <w:rFonts w:ascii="Calibri" w:hAnsi="Calibri" w:cs="Calibri"/>
          <w:color w:val="auto"/>
          <w:sz w:val="22"/>
          <w:szCs w:val="22"/>
        </w:rPr>
        <w:t xml:space="preserve">) </w:t>
      </w:r>
      <w:r w:rsidR="00DC1F70" w:rsidRPr="00EC7273">
        <w:rPr>
          <w:rFonts w:ascii="Calibri" w:hAnsi="Calibri" w:cs="Calibri"/>
          <w:color w:val="auto"/>
          <w:sz w:val="22"/>
          <w:szCs w:val="22"/>
        </w:rPr>
        <w:tab/>
        <w:t>$3,4</w:t>
      </w:r>
      <w:r w:rsidR="003E37F0" w:rsidRPr="00EC7273">
        <w:rPr>
          <w:rFonts w:ascii="Calibri" w:hAnsi="Calibri" w:cs="Calibri"/>
          <w:color w:val="auto"/>
          <w:sz w:val="22"/>
          <w:szCs w:val="22"/>
        </w:rPr>
        <w:t>5</w:t>
      </w:r>
      <w:r w:rsidR="00DC1F70" w:rsidRPr="00EC7273">
        <w:rPr>
          <w:rFonts w:ascii="Calibri" w:hAnsi="Calibri" w:cs="Calibri"/>
          <w:color w:val="auto"/>
          <w:sz w:val="22"/>
          <w:szCs w:val="22"/>
        </w:rPr>
        <w:t>0 (201</w:t>
      </w:r>
      <w:r w:rsidR="003E37F0" w:rsidRPr="00EC7273">
        <w:rPr>
          <w:rFonts w:ascii="Calibri" w:hAnsi="Calibri" w:cs="Calibri"/>
          <w:color w:val="auto"/>
          <w:sz w:val="22"/>
          <w:szCs w:val="22"/>
        </w:rPr>
        <w:t>8</w:t>
      </w:r>
      <w:r w:rsidR="00DC1F70" w:rsidRPr="00EC7273">
        <w:rPr>
          <w:rFonts w:ascii="Calibri" w:hAnsi="Calibri" w:cs="Calibri"/>
          <w:color w:val="auto"/>
          <w:sz w:val="22"/>
          <w:szCs w:val="22"/>
        </w:rPr>
        <w:t>)</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$6,750 (201</w:t>
      </w:r>
      <w:r w:rsidR="003E37F0" w:rsidRPr="00EC7273">
        <w:rPr>
          <w:rFonts w:ascii="Calibri" w:hAnsi="Calibri" w:cs="Calibri"/>
          <w:color w:val="auto"/>
          <w:sz w:val="22"/>
          <w:szCs w:val="22"/>
        </w:rPr>
        <w:t>7</w:t>
      </w:r>
      <w:r w:rsidRPr="00EC7273">
        <w:rPr>
          <w:rFonts w:ascii="Calibri" w:hAnsi="Calibri" w:cs="Calibri"/>
          <w:color w:val="auto"/>
          <w:sz w:val="22"/>
          <w:szCs w:val="22"/>
        </w:rPr>
        <w:t>)</w:t>
      </w:r>
      <w:r w:rsidRPr="00EC7273">
        <w:rPr>
          <w:rFonts w:ascii="Calibri" w:hAnsi="Calibri" w:cs="Calibri"/>
          <w:color w:val="auto"/>
          <w:sz w:val="22"/>
          <w:szCs w:val="22"/>
        </w:rPr>
        <w:tab/>
        <w:t>$6,</w:t>
      </w:r>
      <w:r w:rsidR="003E37F0" w:rsidRPr="00EC7273">
        <w:rPr>
          <w:rFonts w:ascii="Calibri" w:hAnsi="Calibri" w:cs="Calibri"/>
          <w:color w:val="auto"/>
          <w:sz w:val="22"/>
          <w:szCs w:val="22"/>
        </w:rPr>
        <w:t>90</w:t>
      </w:r>
      <w:r w:rsidRPr="00EC7273">
        <w:rPr>
          <w:rFonts w:ascii="Calibri" w:hAnsi="Calibri" w:cs="Calibri"/>
          <w:color w:val="auto"/>
          <w:sz w:val="22"/>
          <w:szCs w:val="22"/>
        </w:rPr>
        <w:t>0 (201</w:t>
      </w:r>
      <w:r w:rsidR="003E37F0" w:rsidRPr="00EC7273">
        <w:rPr>
          <w:rFonts w:ascii="Calibri" w:hAnsi="Calibri" w:cs="Calibri"/>
          <w:color w:val="auto"/>
          <w:sz w:val="22"/>
          <w:szCs w:val="22"/>
        </w:rPr>
        <w:t>8</w:t>
      </w:r>
      <w:r w:rsidRPr="00EC7273">
        <w:rPr>
          <w:rFonts w:ascii="Calibri" w:hAnsi="Calibri" w:cs="Calibri"/>
          <w:color w:val="auto"/>
          <w:sz w:val="22"/>
          <w:szCs w:val="22"/>
        </w:rPr>
        <w:t xml:space="preserve">) </w:t>
      </w:r>
      <w:r w:rsidRPr="00EC7273">
        <w:rPr>
          <w:rFonts w:ascii="Calibri" w:hAnsi="Calibri" w:cs="Calibri"/>
          <w:color w:val="auto"/>
          <w:sz w:val="22"/>
          <w:szCs w:val="22"/>
        </w:rPr>
        <w:tab/>
      </w:r>
      <w:r w:rsidRPr="00EC7273">
        <w:rPr>
          <w:rFonts w:ascii="Calibri" w:hAnsi="Calibri" w:cs="Calibri"/>
          <w:color w:val="auto"/>
          <w:sz w:val="22"/>
          <w:szCs w:val="22"/>
        </w:rPr>
        <w:tab/>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up to an additional $1,000 for participants who are 55 or older at the end of the tax year. </w:t>
      </w:r>
    </w:p>
    <w:p w:rsidR="00182CF4" w:rsidRPr="00EC7273" w:rsidRDefault="00182CF4" w:rsidP="00182CF4">
      <w:pPr>
        <w:pStyle w:val="Heading1"/>
        <w:rPr>
          <w:rStyle w:val="Heading1Char"/>
        </w:rPr>
      </w:pPr>
      <w:bookmarkStart w:id="7" w:name="_Toc519679172"/>
      <w:r w:rsidRPr="00EC7273">
        <w:rPr>
          <w:rStyle w:val="Heading1Char"/>
        </w:rPr>
        <w:t>125 Premium Only Plans (POP)</w:t>
      </w:r>
      <w:r w:rsidR="00D23E39">
        <w:rPr>
          <w:rStyle w:val="Heading1Char"/>
        </w:rPr>
        <w:t xml:space="preserve"> </w:t>
      </w:r>
      <w:r w:rsidR="00D23E39" w:rsidRPr="00EC7273">
        <w:rPr>
          <w:rFonts w:ascii="Calibri" w:hAnsi="Calibri" w:cs="Calibri"/>
          <w:color w:val="auto"/>
          <w:sz w:val="22"/>
          <w:szCs w:val="22"/>
        </w:rPr>
        <w:t>(if applicable)</w:t>
      </w:r>
      <w:bookmarkEnd w:id="7"/>
    </w:p>
    <w:p w:rsidR="00182CF4" w:rsidRPr="00EC7273" w:rsidRDefault="00182CF4" w:rsidP="00182CF4">
      <w:pPr>
        <w:pStyle w:val="Default"/>
        <w:rPr>
          <w:rFonts w:ascii="Calibri" w:hAnsi="Calibri" w:cs="Calibri"/>
          <w:color w:val="auto"/>
          <w:sz w:val="22"/>
          <w:szCs w:val="22"/>
        </w:rPr>
      </w:pPr>
      <w:r w:rsidRPr="00EC7273">
        <w:rPr>
          <w:rFonts w:ascii="Calibri" w:hAnsi="Calibri" w:cs="Calibri"/>
          <w:color w:val="auto"/>
          <w:sz w:val="22"/>
          <w:szCs w:val="22"/>
        </w:rPr>
        <w:t xml:space="preserve">(If allowing payment of eligible premiums on a pre-tax basis and does not have FSA healthcare/dependent care)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current Section 125 Plan document (post 2014).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Does not allow owners</w:t>
      </w:r>
      <w:r w:rsidR="003C7F4D">
        <w:rPr>
          <w:rFonts w:ascii="Calibri" w:hAnsi="Calibri" w:cs="Calibri"/>
          <w:color w:val="auto"/>
          <w:sz w:val="22"/>
          <w:szCs w:val="22"/>
        </w:rPr>
        <w:t xml:space="preserve"> (except C Corp owners)</w:t>
      </w:r>
      <w:bookmarkStart w:id="8" w:name="_GoBack"/>
      <w:bookmarkEnd w:id="8"/>
      <w:r w:rsidRPr="00EC7273">
        <w:rPr>
          <w:rFonts w:ascii="Calibri" w:hAnsi="Calibri" w:cs="Calibri"/>
          <w:color w:val="auto"/>
          <w:sz w:val="22"/>
          <w:szCs w:val="22"/>
        </w:rPr>
        <w:t xml:space="preserve"> to participate in the 125 POP plan.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favor of Highly Compensated Individuals (HCI) in the following annual nondiscrimination tests: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Eligibility Test:</w:t>
      </w:r>
      <w:r w:rsidRPr="00EC7273">
        <w:rPr>
          <w:rFonts w:ascii="Calibri" w:hAnsi="Calibri" w:cs="Calibri"/>
          <w:color w:val="auto"/>
          <w:sz w:val="22"/>
          <w:szCs w:val="22"/>
        </w:rPr>
        <w:t xml:space="preserve"> Does not exclude non-HCIs from participating in favor of HCIs and key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Concentration &amp; Benefit (Utilization) Test:</w:t>
      </w:r>
      <w:r w:rsidRPr="00EC7273">
        <w:rPr>
          <w:rFonts w:ascii="Calibri" w:hAnsi="Calibri" w:cs="Calibri"/>
          <w:color w:val="auto"/>
          <w:sz w:val="22"/>
          <w:szCs w:val="22"/>
        </w:rPr>
        <w:t xml:space="preserve"> Waiting periods, employee contributions and benefit levels are uniform for participants, not favoring HCI.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Key Employee Concentration Test:</w:t>
      </w:r>
      <w:r w:rsidRPr="00EC7273">
        <w:rPr>
          <w:rFonts w:ascii="Calibri" w:hAnsi="Calibri" w:cs="Calibri"/>
          <w:color w:val="auto"/>
          <w:sz w:val="22"/>
          <w:szCs w:val="22"/>
        </w:rPr>
        <w:t xml:space="preserve"> Key employees do not receive more than 25% of the total of nontaxable benefits provided to all employees. </w:t>
      </w:r>
    </w:p>
    <w:sectPr w:rsidR="00182CF4" w:rsidRPr="00EC7273" w:rsidSect="00EC7273">
      <w:footerReference w:type="default" r:id="rId9"/>
      <w:type w:val="continuous"/>
      <w:pgSz w:w="12240" w:h="15840" w:code="1"/>
      <w:pgMar w:top="1080" w:right="720" w:bottom="108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68" w:rsidRDefault="001D5F68" w:rsidP="00DC1F70">
      <w:pPr>
        <w:spacing w:after="0" w:line="240" w:lineRule="auto"/>
      </w:pPr>
      <w:r>
        <w:separator/>
      </w:r>
    </w:p>
  </w:endnote>
  <w:endnote w:type="continuationSeparator" w:id="0">
    <w:p w:rsidR="001D5F68" w:rsidRDefault="001D5F68" w:rsidP="00DC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TarzanaWideBold">
    <w:altName w:val="TarzanaWideBold"/>
    <w:panose1 w:val="00000000000000000000"/>
    <w:charset w:val="00"/>
    <w:family w:val="swiss"/>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735945"/>
      <w:docPartObj>
        <w:docPartGallery w:val="Page Numbers (Bottom of Page)"/>
        <w:docPartUnique/>
      </w:docPartObj>
    </w:sdtPr>
    <w:sdtEndPr>
      <w:rPr>
        <w:noProof/>
      </w:rPr>
    </w:sdtEndPr>
    <w:sdtContent>
      <w:p w:rsidR="001D5F68" w:rsidRDefault="001D5F68">
        <w:pPr>
          <w:pStyle w:val="Footer"/>
        </w:pPr>
        <w:r>
          <w:fldChar w:fldCharType="begin"/>
        </w:r>
        <w:r>
          <w:instrText xml:space="preserve"> PAGE   \* MERGEFORMAT </w:instrText>
        </w:r>
        <w:r>
          <w:fldChar w:fldCharType="separate"/>
        </w:r>
        <w:r w:rsidR="003C7F4D">
          <w:rPr>
            <w:noProof/>
          </w:rPr>
          <w:t>5</w:t>
        </w:r>
        <w:r>
          <w:rPr>
            <w:noProof/>
          </w:rPr>
          <w:fldChar w:fldCharType="end"/>
        </w:r>
        <w:r w:rsidR="0071137D">
          <w:rPr>
            <w:noProof/>
          </w:rPr>
          <w:tab/>
        </w:r>
        <w:r w:rsidR="0071137D">
          <w:rPr>
            <w:noProof/>
          </w:rPr>
          <w:tab/>
          <w:t xml:space="preserve">                Last revised July 2018</w:t>
        </w:r>
      </w:p>
    </w:sdtContent>
  </w:sdt>
  <w:p w:rsidR="001D5F68" w:rsidRDefault="001D5F68" w:rsidP="00EC7273">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68" w:rsidRDefault="001D5F68" w:rsidP="00DC1F70">
      <w:pPr>
        <w:spacing w:after="0" w:line="240" w:lineRule="auto"/>
      </w:pPr>
      <w:r>
        <w:separator/>
      </w:r>
    </w:p>
  </w:footnote>
  <w:footnote w:type="continuationSeparator" w:id="0">
    <w:p w:rsidR="001D5F68" w:rsidRDefault="001D5F68" w:rsidP="00DC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5FE6C3"/>
    <w:multiLevelType w:val="hybridMultilevel"/>
    <w:tmpl w:val="88041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E4D6"/>
    <w:multiLevelType w:val="hybridMultilevel"/>
    <w:tmpl w:val="6C78B9A8"/>
    <w:lvl w:ilvl="0" w:tplc="5AACF2D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30AFF"/>
    <w:multiLevelType w:val="hybridMultilevel"/>
    <w:tmpl w:val="95A831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7DEAA"/>
    <w:multiLevelType w:val="hybridMultilevel"/>
    <w:tmpl w:val="DFC7B3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61ABD"/>
    <w:multiLevelType w:val="hybridMultilevel"/>
    <w:tmpl w:val="DE1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80A9F"/>
    <w:multiLevelType w:val="hybridMultilevel"/>
    <w:tmpl w:val="4434D248"/>
    <w:lvl w:ilvl="0" w:tplc="89724510">
      <w:start w:val="1"/>
      <w:numFmt w:val="bullet"/>
      <w:lvlText w:val=""/>
      <w:lvlJc w:val="left"/>
      <w:pPr>
        <w:ind w:left="1200" w:hanging="180"/>
      </w:pPr>
      <w:rPr>
        <w:rFonts w:ascii="Symbol" w:eastAsia="Symbol" w:hAnsi="Symbol" w:hint="default"/>
        <w:w w:val="99"/>
        <w:sz w:val="20"/>
        <w:szCs w:val="20"/>
      </w:rPr>
    </w:lvl>
    <w:lvl w:ilvl="1" w:tplc="CFDCE9BC">
      <w:start w:val="1"/>
      <w:numFmt w:val="bullet"/>
      <w:lvlText w:val="•"/>
      <w:lvlJc w:val="left"/>
      <w:pPr>
        <w:ind w:left="1054" w:hanging="180"/>
      </w:pPr>
      <w:rPr>
        <w:rFonts w:hint="default"/>
      </w:rPr>
    </w:lvl>
    <w:lvl w:ilvl="2" w:tplc="905CA320">
      <w:start w:val="1"/>
      <w:numFmt w:val="bullet"/>
      <w:lvlText w:val="•"/>
      <w:lvlJc w:val="left"/>
      <w:pPr>
        <w:ind w:left="908" w:hanging="180"/>
      </w:pPr>
      <w:rPr>
        <w:rFonts w:hint="default"/>
      </w:rPr>
    </w:lvl>
    <w:lvl w:ilvl="3" w:tplc="6D248554">
      <w:start w:val="1"/>
      <w:numFmt w:val="bullet"/>
      <w:lvlText w:val="•"/>
      <w:lvlJc w:val="left"/>
      <w:pPr>
        <w:ind w:left="762" w:hanging="180"/>
      </w:pPr>
      <w:rPr>
        <w:rFonts w:hint="default"/>
      </w:rPr>
    </w:lvl>
    <w:lvl w:ilvl="4" w:tplc="7A6CF970">
      <w:start w:val="1"/>
      <w:numFmt w:val="bullet"/>
      <w:lvlText w:val="•"/>
      <w:lvlJc w:val="left"/>
      <w:pPr>
        <w:ind w:left="616" w:hanging="180"/>
      </w:pPr>
      <w:rPr>
        <w:rFonts w:hint="default"/>
      </w:rPr>
    </w:lvl>
    <w:lvl w:ilvl="5" w:tplc="05BC67D2">
      <w:start w:val="1"/>
      <w:numFmt w:val="bullet"/>
      <w:lvlText w:val="•"/>
      <w:lvlJc w:val="left"/>
      <w:pPr>
        <w:ind w:left="469" w:hanging="180"/>
      </w:pPr>
      <w:rPr>
        <w:rFonts w:hint="default"/>
      </w:rPr>
    </w:lvl>
    <w:lvl w:ilvl="6" w:tplc="523636DE">
      <w:start w:val="1"/>
      <w:numFmt w:val="bullet"/>
      <w:lvlText w:val="•"/>
      <w:lvlJc w:val="left"/>
      <w:pPr>
        <w:ind w:left="323" w:hanging="180"/>
      </w:pPr>
      <w:rPr>
        <w:rFonts w:hint="default"/>
      </w:rPr>
    </w:lvl>
    <w:lvl w:ilvl="7" w:tplc="62A02CA0">
      <w:start w:val="1"/>
      <w:numFmt w:val="bullet"/>
      <w:lvlText w:val="•"/>
      <w:lvlJc w:val="left"/>
      <w:pPr>
        <w:ind w:left="177" w:hanging="180"/>
      </w:pPr>
      <w:rPr>
        <w:rFonts w:hint="default"/>
      </w:rPr>
    </w:lvl>
    <w:lvl w:ilvl="8" w:tplc="49F6CAF0">
      <w:start w:val="1"/>
      <w:numFmt w:val="bullet"/>
      <w:lvlText w:val="•"/>
      <w:lvlJc w:val="left"/>
      <w:pPr>
        <w:ind w:left="31" w:hanging="180"/>
      </w:pPr>
      <w:rPr>
        <w:rFonts w:hint="default"/>
      </w:rPr>
    </w:lvl>
  </w:abstractNum>
  <w:abstractNum w:abstractNumId="6" w15:restartNumberingAfterBreak="0">
    <w:nsid w:val="0FD63297"/>
    <w:multiLevelType w:val="hybridMultilevel"/>
    <w:tmpl w:val="EFB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135C"/>
    <w:multiLevelType w:val="hybridMultilevel"/>
    <w:tmpl w:val="5BD0CAB4"/>
    <w:lvl w:ilvl="0" w:tplc="357E92D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F864D696">
      <w:numFmt w:val="bullet"/>
      <w:lvlText w:val="•"/>
      <w:lvlJc w:val="left"/>
      <w:pPr>
        <w:ind w:left="2520" w:hanging="360"/>
      </w:pPr>
      <w:rPr>
        <w:rFonts w:ascii="Arial Narrow" w:eastAsia="Times New Roman" w:hAnsi="Arial Narrow"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CF277F"/>
    <w:multiLevelType w:val="hybridMultilevel"/>
    <w:tmpl w:val="D053C3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CB13AE"/>
    <w:multiLevelType w:val="hybridMultilevel"/>
    <w:tmpl w:val="3A70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3C5F1D"/>
    <w:multiLevelType w:val="hybridMultilevel"/>
    <w:tmpl w:val="68D6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972C4"/>
    <w:multiLevelType w:val="hybridMultilevel"/>
    <w:tmpl w:val="467A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611"/>
    <w:multiLevelType w:val="hybridMultilevel"/>
    <w:tmpl w:val="080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0834"/>
    <w:multiLevelType w:val="hybridMultilevel"/>
    <w:tmpl w:val="EA5C6B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28713DF6"/>
    <w:multiLevelType w:val="hybridMultilevel"/>
    <w:tmpl w:val="84506D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6E14EA"/>
    <w:multiLevelType w:val="hybridMultilevel"/>
    <w:tmpl w:val="35928F66"/>
    <w:lvl w:ilvl="0" w:tplc="5AACF2D8">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2C60254C"/>
    <w:multiLevelType w:val="hybridMultilevel"/>
    <w:tmpl w:val="0112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90890"/>
    <w:multiLevelType w:val="hybridMultilevel"/>
    <w:tmpl w:val="1BEED306"/>
    <w:lvl w:ilvl="0" w:tplc="5AACF2D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4427"/>
    <w:multiLevelType w:val="hybridMultilevel"/>
    <w:tmpl w:val="9B76700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B43623"/>
    <w:multiLevelType w:val="hybridMultilevel"/>
    <w:tmpl w:val="3834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46845"/>
    <w:multiLevelType w:val="hybridMultilevel"/>
    <w:tmpl w:val="94E6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214F6"/>
    <w:multiLevelType w:val="hybridMultilevel"/>
    <w:tmpl w:val="A48A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204E2"/>
    <w:multiLevelType w:val="hybridMultilevel"/>
    <w:tmpl w:val="19621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920EB"/>
    <w:multiLevelType w:val="hybridMultilevel"/>
    <w:tmpl w:val="298E9DB0"/>
    <w:lvl w:ilvl="0" w:tplc="5AACF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5446C"/>
    <w:multiLevelType w:val="hybridMultilevel"/>
    <w:tmpl w:val="453C9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21"/>
        </w:tabs>
        <w:ind w:left="221" w:hanging="360"/>
      </w:pPr>
      <w:rPr>
        <w:rFonts w:ascii="Courier New" w:hAnsi="Courier New" w:cs="Courier New" w:hint="default"/>
      </w:rPr>
    </w:lvl>
    <w:lvl w:ilvl="2" w:tplc="04090005" w:tentative="1">
      <w:start w:val="1"/>
      <w:numFmt w:val="bullet"/>
      <w:lvlText w:val=""/>
      <w:lvlJc w:val="left"/>
      <w:pPr>
        <w:tabs>
          <w:tab w:val="num" w:pos="941"/>
        </w:tabs>
        <w:ind w:left="941" w:hanging="360"/>
      </w:pPr>
      <w:rPr>
        <w:rFonts w:ascii="Wingdings" w:hAnsi="Wingdings" w:hint="default"/>
      </w:rPr>
    </w:lvl>
    <w:lvl w:ilvl="3" w:tplc="04090001" w:tentative="1">
      <w:start w:val="1"/>
      <w:numFmt w:val="bullet"/>
      <w:lvlText w:val=""/>
      <w:lvlJc w:val="left"/>
      <w:pPr>
        <w:tabs>
          <w:tab w:val="num" w:pos="1661"/>
        </w:tabs>
        <w:ind w:left="1661" w:hanging="360"/>
      </w:pPr>
      <w:rPr>
        <w:rFonts w:ascii="Symbol" w:hAnsi="Symbol" w:hint="default"/>
      </w:rPr>
    </w:lvl>
    <w:lvl w:ilvl="4" w:tplc="04090003" w:tentative="1">
      <w:start w:val="1"/>
      <w:numFmt w:val="bullet"/>
      <w:lvlText w:val="o"/>
      <w:lvlJc w:val="left"/>
      <w:pPr>
        <w:tabs>
          <w:tab w:val="num" w:pos="2381"/>
        </w:tabs>
        <w:ind w:left="2381" w:hanging="360"/>
      </w:pPr>
      <w:rPr>
        <w:rFonts w:ascii="Courier New" w:hAnsi="Courier New" w:cs="Courier New" w:hint="default"/>
      </w:rPr>
    </w:lvl>
    <w:lvl w:ilvl="5" w:tplc="04090005" w:tentative="1">
      <w:start w:val="1"/>
      <w:numFmt w:val="bullet"/>
      <w:lvlText w:val=""/>
      <w:lvlJc w:val="left"/>
      <w:pPr>
        <w:tabs>
          <w:tab w:val="num" w:pos="3101"/>
        </w:tabs>
        <w:ind w:left="3101" w:hanging="360"/>
      </w:pPr>
      <w:rPr>
        <w:rFonts w:ascii="Wingdings" w:hAnsi="Wingdings" w:hint="default"/>
      </w:rPr>
    </w:lvl>
    <w:lvl w:ilvl="6" w:tplc="04090001" w:tentative="1">
      <w:start w:val="1"/>
      <w:numFmt w:val="bullet"/>
      <w:lvlText w:val=""/>
      <w:lvlJc w:val="left"/>
      <w:pPr>
        <w:tabs>
          <w:tab w:val="num" w:pos="3821"/>
        </w:tabs>
        <w:ind w:left="3821" w:hanging="360"/>
      </w:pPr>
      <w:rPr>
        <w:rFonts w:ascii="Symbol" w:hAnsi="Symbol" w:hint="default"/>
      </w:rPr>
    </w:lvl>
    <w:lvl w:ilvl="7" w:tplc="04090003" w:tentative="1">
      <w:start w:val="1"/>
      <w:numFmt w:val="bullet"/>
      <w:lvlText w:val="o"/>
      <w:lvlJc w:val="left"/>
      <w:pPr>
        <w:tabs>
          <w:tab w:val="num" w:pos="4541"/>
        </w:tabs>
        <w:ind w:left="4541" w:hanging="360"/>
      </w:pPr>
      <w:rPr>
        <w:rFonts w:ascii="Courier New" w:hAnsi="Courier New" w:cs="Courier New" w:hint="default"/>
      </w:rPr>
    </w:lvl>
    <w:lvl w:ilvl="8" w:tplc="04090005" w:tentative="1">
      <w:start w:val="1"/>
      <w:numFmt w:val="bullet"/>
      <w:lvlText w:val=""/>
      <w:lvlJc w:val="left"/>
      <w:pPr>
        <w:tabs>
          <w:tab w:val="num" w:pos="5261"/>
        </w:tabs>
        <w:ind w:left="5261" w:hanging="360"/>
      </w:pPr>
      <w:rPr>
        <w:rFonts w:ascii="Wingdings" w:hAnsi="Wingdings" w:hint="default"/>
      </w:rPr>
    </w:lvl>
  </w:abstractNum>
  <w:abstractNum w:abstractNumId="25" w15:restartNumberingAfterBreak="0">
    <w:nsid w:val="4E0151B7"/>
    <w:multiLevelType w:val="hybridMultilevel"/>
    <w:tmpl w:val="42004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F6886"/>
    <w:multiLevelType w:val="hybridMultilevel"/>
    <w:tmpl w:val="D424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55A4D"/>
    <w:multiLevelType w:val="hybridMultilevel"/>
    <w:tmpl w:val="FC8AC956"/>
    <w:lvl w:ilvl="0" w:tplc="5AACF2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1D1FB3"/>
    <w:multiLevelType w:val="hybridMultilevel"/>
    <w:tmpl w:val="2A6CD646"/>
    <w:lvl w:ilvl="0" w:tplc="0F3E35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12CEF"/>
    <w:multiLevelType w:val="hybridMultilevel"/>
    <w:tmpl w:val="0CD23DDA"/>
    <w:lvl w:ilvl="0" w:tplc="5AACF2D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4D51894"/>
    <w:multiLevelType w:val="hybridMultilevel"/>
    <w:tmpl w:val="4DB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A65C5"/>
    <w:multiLevelType w:val="hybridMultilevel"/>
    <w:tmpl w:val="2062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45C79"/>
    <w:multiLevelType w:val="hybridMultilevel"/>
    <w:tmpl w:val="9836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A02FF"/>
    <w:multiLevelType w:val="hybridMultilevel"/>
    <w:tmpl w:val="4AD6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3C7F4"/>
    <w:multiLevelType w:val="hybridMultilevel"/>
    <w:tmpl w:val="FB213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1915B3"/>
    <w:multiLevelType w:val="hybridMultilevel"/>
    <w:tmpl w:val="4E92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E696D"/>
    <w:multiLevelType w:val="hybridMultilevel"/>
    <w:tmpl w:val="3EF826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8"/>
  </w:num>
  <w:num w:numId="3">
    <w:abstractNumId w:val="25"/>
  </w:num>
  <w:num w:numId="4">
    <w:abstractNumId w:val="17"/>
  </w:num>
  <w:num w:numId="5">
    <w:abstractNumId w:val="5"/>
  </w:num>
  <w:num w:numId="6">
    <w:abstractNumId w:val="23"/>
  </w:num>
  <w:num w:numId="7">
    <w:abstractNumId w:val="29"/>
  </w:num>
  <w:num w:numId="8">
    <w:abstractNumId w:val="15"/>
  </w:num>
  <w:num w:numId="9">
    <w:abstractNumId w:val="27"/>
  </w:num>
  <w:num w:numId="10">
    <w:abstractNumId w:val="0"/>
  </w:num>
  <w:num w:numId="11">
    <w:abstractNumId w:val="1"/>
  </w:num>
  <w:num w:numId="12">
    <w:abstractNumId w:val="2"/>
  </w:num>
  <w:num w:numId="13">
    <w:abstractNumId w:val="36"/>
  </w:num>
  <w:num w:numId="14">
    <w:abstractNumId w:val="34"/>
  </w:num>
  <w:num w:numId="15">
    <w:abstractNumId w:val="3"/>
  </w:num>
  <w:num w:numId="16">
    <w:abstractNumId w:val="8"/>
  </w:num>
  <w:num w:numId="17">
    <w:abstractNumId w:val="33"/>
  </w:num>
  <w:num w:numId="18">
    <w:abstractNumId w:val="9"/>
  </w:num>
  <w:num w:numId="19">
    <w:abstractNumId w:val="35"/>
  </w:num>
  <w:num w:numId="20">
    <w:abstractNumId w:val="6"/>
  </w:num>
  <w:num w:numId="21">
    <w:abstractNumId w:val="4"/>
  </w:num>
  <w:num w:numId="22">
    <w:abstractNumId w:val="20"/>
  </w:num>
  <w:num w:numId="23">
    <w:abstractNumId w:val="19"/>
  </w:num>
  <w:num w:numId="24">
    <w:abstractNumId w:val="31"/>
  </w:num>
  <w:num w:numId="25">
    <w:abstractNumId w:val="30"/>
  </w:num>
  <w:num w:numId="26">
    <w:abstractNumId w:val="10"/>
  </w:num>
  <w:num w:numId="27">
    <w:abstractNumId w:val="32"/>
  </w:num>
  <w:num w:numId="28">
    <w:abstractNumId w:val="24"/>
  </w:num>
  <w:num w:numId="29">
    <w:abstractNumId w:val="13"/>
  </w:num>
  <w:num w:numId="30">
    <w:abstractNumId w:val="14"/>
  </w:num>
  <w:num w:numId="31">
    <w:abstractNumId w:val="7"/>
  </w:num>
  <w:num w:numId="32">
    <w:abstractNumId w:val="11"/>
  </w:num>
  <w:num w:numId="33">
    <w:abstractNumId w:val="16"/>
  </w:num>
  <w:num w:numId="34">
    <w:abstractNumId w:val="26"/>
  </w:num>
  <w:num w:numId="35">
    <w:abstractNumId w:val="18"/>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73"/>
    <w:rsid w:val="00032728"/>
    <w:rsid w:val="00033D5F"/>
    <w:rsid w:val="00040540"/>
    <w:rsid w:val="000805E2"/>
    <w:rsid w:val="000B63D2"/>
    <w:rsid w:val="000D2B9F"/>
    <w:rsid w:val="001156C3"/>
    <w:rsid w:val="0013224F"/>
    <w:rsid w:val="00135E33"/>
    <w:rsid w:val="00165980"/>
    <w:rsid w:val="00181CE5"/>
    <w:rsid w:val="00182CF4"/>
    <w:rsid w:val="00195DFE"/>
    <w:rsid w:val="001D5F68"/>
    <w:rsid w:val="002000A2"/>
    <w:rsid w:val="00205BBD"/>
    <w:rsid w:val="00226240"/>
    <w:rsid w:val="002A6C35"/>
    <w:rsid w:val="00330C79"/>
    <w:rsid w:val="00352E38"/>
    <w:rsid w:val="00357A4C"/>
    <w:rsid w:val="00366F7D"/>
    <w:rsid w:val="0038228C"/>
    <w:rsid w:val="003B684B"/>
    <w:rsid w:val="003C254F"/>
    <w:rsid w:val="003C7F4D"/>
    <w:rsid w:val="003E37F0"/>
    <w:rsid w:val="00417930"/>
    <w:rsid w:val="0046755A"/>
    <w:rsid w:val="0049236D"/>
    <w:rsid w:val="004C70E6"/>
    <w:rsid w:val="004E4D41"/>
    <w:rsid w:val="0052662D"/>
    <w:rsid w:val="00551819"/>
    <w:rsid w:val="00571A65"/>
    <w:rsid w:val="005C6862"/>
    <w:rsid w:val="005D6747"/>
    <w:rsid w:val="005E318E"/>
    <w:rsid w:val="00611A89"/>
    <w:rsid w:val="00670916"/>
    <w:rsid w:val="0067379A"/>
    <w:rsid w:val="006C7D24"/>
    <w:rsid w:val="0071137D"/>
    <w:rsid w:val="00733B35"/>
    <w:rsid w:val="00755F06"/>
    <w:rsid w:val="0076002A"/>
    <w:rsid w:val="00781B1A"/>
    <w:rsid w:val="00827179"/>
    <w:rsid w:val="00842A4C"/>
    <w:rsid w:val="0087156E"/>
    <w:rsid w:val="00881D40"/>
    <w:rsid w:val="008E2E45"/>
    <w:rsid w:val="008F34A2"/>
    <w:rsid w:val="00903973"/>
    <w:rsid w:val="009061EF"/>
    <w:rsid w:val="00906787"/>
    <w:rsid w:val="00957F57"/>
    <w:rsid w:val="009A2820"/>
    <w:rsid w:val="009C7B58"/>
    <w:rsid w:val="009F5E75"/>
    <w:rsid w:val="00A26F3C"/>
    <w:rsid w:val="00A47925"/>
    <w:rsid w:val="00A848EE"/>
    <w:rsid w:val="00AE11F0"/>
    <w:rsid w:val="00B114CA"/>
    <w:rsid w:val="00B219A8"/>
    <w:rsid w:val="00B24E52"/>
    <w:rsid w:val="00B60124"/>
    <w:rsid w:val="00BB7B06"/>
    <w:rsid w:val="00C0086B"/>
    <w:rsid w:val="00C268B7"/>
    <w:rsid w:val="00C36DE9"/>
    <w:rsid w:val="00C6545E"/>
    <w:rsid w:val="00CA0AC0"/>
    <w:rsid w:val="00CA4B2E"/>
    <w:rsid w:val="00CB4396"/>
    <w:rsid w:val="00D13E83"/>
    <w:rsid w:val="00D23E39"/>
    <w:rsid w:val="00D606B3"/>
    <w:rsid w:val="00DA269F"/>
    <w:rsid w:val="00DC1F70"/>
    <w:rsid w:val="00DD3086"/>
    <w:rsid w:val="00E5511D"/>
    <w:rsid w:val="00E93E73"/>
    <w:rsid w:val="00EA2375"/>
    <w:rsid w:val="00EC7273"/>
    <w:rsid w:val="00EF7B39"/>
    <w:rsid w:val="00F513A7"/>
    <w:rsid w:val="00F714E7"/>
    <w:rsid w:val="00F94B4F"/>
    <w:rsid w:val="00FC1111"/>
    <w:rsid w:val="00FF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82663"/>
  <w15:chartTrackingRefBased/>
  <w15:docId w15:val="{320BDE68-D1ED-4344-82D7-38F11862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DC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70"/>
  </w:style>
  <w:style w:type="paragraph" w:styleId="Footer">
    <w:name w:val="footer"/>
    <w:basedOn w:val="Normal"/>
    <w:link w:val="FooterChar"/>
    <w:uiPriority w:val="99"/>
    <w:unhideWhenUsed/>
    <w:rsid w:val="00DC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70"/>
  </w:style>
  <w:style w:type="character" w:styleId="Hyperlink">
    <w:name w:val="Hyperlink"/>
    <w:basedOn w:val="DefaultParagraphFont"/>
    <w:uiPriority w:val="99"/>
    <w:unhideWhenUsed/>
    <w:rsid w:val="00DC1F70"/>
    <w:rPr>
      <w:color w:val="0563C1" w:themeColor="hyperlink"/>
      <w:u w:val="single"/>
    </w:rPr>
  </w:style>
  <w:style w:type="paragraph" w:styleId="BodyText">
    <w:name w:val="Body Text"/>
    <w:basedOn w:val="Normal"/>
    <w:link w:val="BodyTextChar"/>
    <w:uiPriority w:val="1"/>
    <w:qFormat/>
    <w:rsid w:val="00781B1A"/>
    <w:pPr>
      <w:widowControl w:val="0"/>
      <w:spacing w:after="0" w:line="240" w:lineRule="auto"/>
      <w:ind w:left="1200" w:hanging="180"/>
    </w:pPr>
    <w:rPr>
      <w:rFonts w:ascii="Calibri" w:eastAsia="Calibri" w:hAnsi="Calibri"/>
    </w:rPr>
  </w:style>
  <w:style w:type="character" w:customStyle="1" w:styleId="BodyTextChar">
    <w:name w:val="Body Text Char"/>
    <w:basedOn w:val="DefaultParagraphFont"/>
    <w:link w:val="BodyText"/>
    <w:uiPriority w:val="1"/>
    <w:rsid w:val="00781B1A"/>
    <w:rPr>
      <w:rFonts w:ascii="Calibri" w:eastAsia="Calibri" w:hAnsi="Calibri"/>
    </w:rPr>
  </w:style>
  <w:style w:type="paragraph" w:styleId="FootnoteText">
    <w:name w:val="footnote text"/>
    <w:basedOn w:val="Normal"/>
    <w:link w:val="FootnoteTextChar"/>
    <w:uiPriority w:val="99"/>
    <w:semiHidden/>
    <w:unhideWhenUsed/>
    <w:rsid w:val="00115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6C3"/>
    <w:rPr>
      <w:sz w:val="20"/>
      <w:szCs w:val="20"/>
    </w:rPr>
  </w:style>
  <w:style w:type="character" w:styleId="FootnoteReference">
    <w:name w:val="footnote reference"/>
    <w:basedOn w:val="DefaultParagraphFont"/>
    <w:uiPriority w:val="99"/>
    <w:semiHidden/>
    <w:unhideWhenUsed/>
    <w:rsid w:val="001156C3"/>
    <w:rPr>
      <w:vertAlign w:val="superscript"/>
    </w:rPr>
  </w:style>
  <w:style w:type="paragraph" w:customStyle="1" w:styleId="Pa3">
    <w:name w:val="Pa3"/>
    <w:basedOn w:val="Default"/>
    <w:next w:val="Default"/>
    <w:uiPriority w:val="99"/>
    <w:rsid w:val="00755F06"/>
    <w:pPr>
      <w:spacing w:line="241" w:lineRule="atLeast"/>
    </w:pPr>
    <w:rPr>
      <w:rFonts w:ascii="Arial Black" w:hAnsi="Arial Black" w:cstheme="minorBidi"/>
      <w:color w:val="auto"/>
    </w:rPr>
  </w:style>
  <w:style w:type="character" w:customStyle="1" w:styleId="A9">
    <w:name w:val="A9"/>
    <w:uiPriority w:val="99"/>
    <w:rsid w:val="00755F06"/>
    <w:rPr>
      <w:rFonts w:cs="Arial Black"/>
      <w:color w:val="000000"/>
      <w:sz w:val="18"/>
      <w:szCs w:val="18"/>
    </w:rPr>
  </w:style>
  <w:style w:type="character" w:customStyle="1" w:styleId="A7">
    <w:name w:val="A7"/>
    <w:uiPriority w:val="99"/>
    <w:rsid w:val="00C36DE9"/>
    <w:rPr>
      <w:rFonts w:cs="TarzanaWideBold"/>
      <w:b/>
      <w:bCs/>
      <w:color w:val="000000"/>
      <w:sz w:val="72"/>
      <w:szCs w:val="72"/>
    </w:rPr>
  </w:style>
  <w:style w:type="paragraph" w:customStyle="1" w:styleId="Pa12">
    <w:name w:val="Pa12"/>
    <w:basedOn w:val="Default"/>
    <w:next w:val="Default"/>
    <w:uiPriority w:val="99"/>
    <w:rsid w:val="00C36DE9"/>
    <w:pPr>
      <w:spacing w:line="241" w:lineRule="atLeast"/>
    </w:pPr>
    <w:rPr>
      <w:rFonts w:ascii="Humnst777 Blk BT" w:hAnsi="Humnst777 Blk BT" w:cstheme="minorBidi"/>
      <w:color w:val="auto"/>
    </w:rPr>
  </w:style>
  <w:style w:type="character" w:customStyle="1" w:styleId="A5">
    <w:name w:val="A5"/>
    <w:uiPriority w:val="99"/>
    <w:rsid w:val="00C36DE9"/>
    <w:rPr>
      <w:rFonts w:cs="Humnst777 Blk BT"/>
      <w:color w:val="000000"/>
      <w:sz w:val="28"/>
      <w:szCs w:val="28"/>
    </w:rPr>
  </w:style>
  <w:style w:type="paragraph" w:customStyle="1" w:styleId="Pa13">
    <w:name w:val="Pa13"/>
    <w:basedOn w:val="Default"/>
    <w:next w:val="Default"/>
    <w:uiPriority w:val="99"/>
    <w:rsid w:val="00C36DE9"/>
    <w:pPr>
      <w:spacing w:line="241" w:lineRule="atLeast"/>
    </w:pPr>
    <w:rPr>
      <w:rFonts w:ascii="Humnst777 Blk BT" w:hAnsi="Humnst777 Blk BT" w:cstheme="minorBidi"/>
      <w:color w:val="auto"/>
    </w:rPr>
  </w:style>
  <w:style w:type="paragraph" w:customStyle="1" w:styleId="Pa4">
    <w:name w:val="Pa4"/>
    <w:basedOn w:val="Default"/>
    <w:next w:val="Default"/>
    <w:uiPriority w:val="99"/>
    <w:rsid w:val="00C36DE9"/>
    <w:pPr>
      <w:spacing w:line="241" w:lineRule="atLeast"/>
    </w:pPr>
    <w:rPr>
      <w:rFonts w:ascii="Humnst777 Lt BT" w:hAnsi="Humnst777 Lt BT" w:cstheme="minorBidi"/>
      <w:color w:val="auto"/>
    </w:rPr>
  </w:style>
  <w:style w:type="paragraph" w:customStyle="1" w:styleId="Pa14">
    <w:name w:val="Pa14"/>
    <w:basedOn w:val="Default"/>
    <w:next w:val="Default"/>
    <w:uiPriority w:val="99"/>
    <w:rsid w:val="00C36DE9"/>
    <w:pPr>
      <w:spacing w:line="241" w:lineRule="atLeast"/>
    </w:pPr>
    <w:rPr>
      <w:rFonts w:ascii="Humnst777 Blk BT" w:hAnsi="Humnst777 Blk BT" w:cstheme="minorBidi"/>
      <w:color w:val="auto"/>
    </w:rPr>
  </w:style>
  <w:style w:type="paragraph" w:customStyle="1" w:styleId="Pa5">
    <w:name w:val="Pa5"/>
    <w:basedOn w:val="Default"/>
    <w:next w:val="Default"/>
    <w:uiPriority w:val="99"/>
    <w:rsid w:val="00C36DE9"/>
    <w:pPr>
      <w:spacing w:line="241" w:lineRule="atLeast"/>
    </w:pPr>
    <w:rPr>
      <w:rFonts w:ascii="Humnst777 Blk BT" w:hAnsi="Humnst777 Blk BT" w:cstheme="minorBidi"/>
      <w:color w:val="auto"/>
    </w:rPr>
  </w:style>
  <w:style w:type="character" w:customStyle="1" w:styleId="A10">
    <w:name w:val="A10"/>
    <w:uiPriority w:val="99"/>
    <w:rsid w:val="00C36DE9"/>
    <w:rPr>
      <w:rFonts w:ascii="Arial Black" w:hAnsi="Arial Black" w:cs="Arial Black"/>
      <w:b/>
      <w:bCs/>
      <w:color w:val="000000"/>
      <w:sz w:val="20"/>
      <w:szCs w:val="20"/>
    </w:rPr>
  </w:style>
  <w:style w:type="paragraph" w:styleId="ListParagraph">
    <w:name w:val="List Paragraph"/>
    <w:basedOn w:val="Normal"/>
    <w:uiPriority w:val="34"/>
    <w:qFormat/>
    <w:rsid w:val="00C36DE9"/>
    <w:pPr>
      <w:ind w:left="720"/>
      <w:contextualSpacing/>
    </w:pPr>
  </w:style>
  <w:style w:type="paragraph" w:customStyle="1" w:styleId="Pa1">
    <w:name w:val="Pa1"/>
    <w:basedOn w:val="Default"/>
    <w:next w:val="Default"/>
    <w:uiPriority w:val="99"/>
    <w:rsid w:val="00135E33"/>
    <w:pPr>
      <w:spacing w:line="241" w:lineRule="atLeast"/>
    </w:pPr>
    <w:rPr>
      <w:rFonts w:ascii="TarzanaWideBold" w:hAnsi="TarzanaWideBold" w:cstheme="minorBidi"/>
      <w:color w:val="auto"/>
    </w:rPr>
  </w:style>
  <w:style w:type="character" w:customStyle="1" w:styleId="A8">
    <w:name w:val="A8"/>
    <w:uiPriority w:val="99"/>
    <w:rsid w:val="00135E33"/>
    <w:rPr>
      <w:rFonts w:ascii="Arial" w:hAnsi="Arial" w:cs="Arial"/>
      <w:b/>
      <w:bCs/>
      <w:color w:val="000000"/>
      <w:sz w:val="22"/>
      <w:szCs w:val="22"/>
    </w:rPr>
  </w:style>
  <w:style w:type="paragraph" w:customStyle="1" w:styleId="Pa8">
    <w:name w:val="Pa8"/>
    <w:basedOn w:val="Default"/>
    <w:next w:val="Default"/>
    <w:uiPriority w:val="99"/>
    <w:rsid w:val="00135E33"/>
    <w:pPr>
      <w:spacing w:line="241" w:lineRule="atLeast"/>
    </w:pPr>
    <w:rPr>
      <w:rFonts w:ascii="TarzanaWideBold" w:hAnsi="TarzanaWideBold" w:cstheme="minorBidi"/>
      <w:color w:val="auto"/>
    </w:rPr>
  </w:style>
  <w:style w:type="paragraph" w:customStyle="1" w:styleId="Pa10">
    <w:name w:val="Pa10"/>
    <w:basedOn w:val="Default"/>
    <w:next w:val="Default"/>
    <w:uiPriority w:val="99"/>
    <w:rsid w:val="00135E33"/>
    <w:pPr>
      <w:spacing w:line="241" w:lineRule="atLeast"/>
    </w:pPr>
    <w:rPr>
      <w:rFonts w:ascii="TarzanaWideBold" w:hAnsi="TarzanaWideBold" w:cstheme="minorBidi"/>
      <w:color w:val="auto"/>
    </w:rPr>
  </w:style>
  <w:style w:type="character" w:customStyle="1" w:styleId="Heading1Char">
    <w:name w:val="Heading 1 Char"/>
    <w:basedOn w:val="DefaultParagraphFont"/>
    <w:link w:val="Heading1"/>
    <w:uiPriority w:val="9"/>
    <w:rsid w:val="00AE11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47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7925"/>
    <w:rPr>
      <w:rFonts w:eastAsiaTheme="minorEastAsia"/>
      <w:color w:val="5A5A5A" w:themeColor="text1" w:themeTint="A5"/>
      <w:spacing w:val="15"/>
    </w:rPr>
  </w:style>
  <w:style w:type="character" w:styleId="SubtleEmphasis">
    <w:name w:val="Subtle Emphasis"/>
    <w:basedOn w:val="DefaultParagraphFont"/>
    <w:uiPriority w:val="19"/>
    <w:qFormat/>
    <w:rsid w:val="00A47925"/>
    <w:rPr>
      <w:i/>
      <w:iCs/>
      <w:color w:val="404040" w:themeColor="text1" w:themeTint="BF"/>
    </w:rPr>
  </w:style>
  <w:style w:type="character" w:styleId="IntenseEmphasis">
    <w:name w:val="Intense Emphasis"/>
    <w:basedOn w:val="DefaultParagraphFont"/>
    <w:uiPriority w:val="21"/>
    <w:qFormat/>
    <w:rsid w:val="00A47925"/>
    <w:rPr>
      <w:i/>
      <w:iCs/>
      <w:color w:val="5B9BD5" w:themeColor="accent1"/>
    </w:rPr>
  </w:style>
  <w:style w:type="paragraph" w:styleId="IntenseQuote">
    <w:name w:val="Intense Quote"/>
    <w:basedOn w:val="Normal"/>
    <w:next w:val="Normal"/>
    <w:link w:val="IntenseQuoteChar"/>
    <w:uiPriority w:val="30"/>
    <w:qFormat/>
    <w:rsid w:val="00A479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7925"/>
    <w:rPr>
      <w:i/>
      <w:iCs/>
      <w:color w:val="5B9BD5" w:themeColor="accent1"/>
    </w:rPr>
  </w:style>
  <w:style w:type="paragraph" w:customStyle="1" w:styleId="TableParagraph">
    <w:name w:val="Table Paragraph"/>
    <w:basedOn w:val="Normal"/>
    <w:uiPriority w:val="1"/>
    <w:qFormat/>
    <w:rsid w:val="00032728"/>
    <w:pPr>
      <w:widowControl w:val="0"/>
      <w:spacing w:after="0" w:line="240" w:lineRule="auto"/>
    </w:pPr>
  </w:style>
  <w:style w:type="paragraph" w:customStyle="1" w:styleId="DocID">
    <w:name w:val="DocID"/>
    <w:basedOn w:val="Normal"/>
    <w:next w:val="Footer"/>
    <w:rsid w:val="00C0086B"/>
    <w:pPr>
      <w:spacing w:after="0" w:line="240" w:lineRule="auto"/>
    </w:pPr>
    <w:rPr>
      <w:rFonts w:ascii="Arial" w:eastAsia="Times New Roman" w:hAnsi="Arial" w:cs="Arial"/>
      <w:sz w:val="16"/>
      <w:szCs w:val="20"/>
    </w:rPr>
  </w:style>
  <w:style w:type="character" w:styleId="PageNumber">
    <w:name w:val="page number"/>
    <w:basedOn w:val="DefaultParagraphFont"/>
    <w:rsid w:val="00C0086B"/>
  </w:style>
  <w:style w:type="paragraph" w:styleId="Title">
    <w:name w:val="Title"/>
    <w:basedOn w:val="Normal"/>
    <w:next w:val="Normal"/>
    <w:link w:val="TitleChar"/>
    <w:uiPriority w:val="10"/>
    <w:qFormat/>
    <w:rsid w:val="005E3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1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E318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E318E"/>
    <w:pPr>
      <w:outlineLvl w:val="9"/>
    </w:pPr>
  </w:style>
  <w:style w:type="paragraph" w:styleId="TOC1">
    <w:name w:val="toc 1"/>
    <w:basedOn w:val="Normal"/>
    <w:next w:val="Normal"/>
    <w:autoRedefine/>
    <w:uiPriority w:val="39"/>
    <w:unhideWhenUsed/>
    <w:rsid w:val="005E318E"/>
    <w:pPr>
      <w:spacing w:after="100"/>
    </w:pPr>
  </w:style>
  <w:style w:type="paragraph" w:styleId="BalloonText">
    <w:name w:val="Balloon Text"/>
    <w:basedOn w:val="Normal"/>
    <w:link w:val="BalloonTextChar"/>
    <w:uiPriority w:val="99"/>
    <w:semiHidden/>
    <w:unhideWhenUsed/>
    <w:rsid w:val="00D6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B3"/>
    <w:rPr>
      <w:rFonts w:ascii="Segoe UI" w:hAnsi="Segoe UI" w:cs="Segoe UI"/>
      <w:sz w:val="18"/>
      <w:szCs w:val="18"/>
    </w:rPr>
  </w:style>
  <w:style w:type="paragraph" w:styleId="Revision">
    <w:name w:val="Revision"/>
    <w:hidden/>
    <w:uiPriority w:val="99"/>
    <w:semiHidden/>
    <w:rsid w:val="00F51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319880">
      <w:bodyDiv w:val="1"/>
      <w:marLeft w:val="0"/>
      <w:marRight w:val="0"/>
      <w:marTop w:val="0"/>
      <w:marBottom w:val="0"/>
      <w:divBdr>
        <w:top w:val="none" w:sz="0" w:space="0" w:color="auto"/>
        <w:left w:val="none" w:sz="0" w:space="0" w:color="auto"/>
        <w:bottom w:val="none" w:sz="0" w:space="0" w:color="auto"/>
        <w:right w:val="none" w:sz="0" w:space="0" w:color="auto"/>
      </w:divBdr>
      <w:divsChild>
        <w:div w:id="2058967656">
          <w:marLeft w:val="0"/>
          <w:marRight w:val="0"/>
          <w:marTop w:val="0"/>
          <w:marBottom w:val="0"/>
          <w:divBdr>
            <w:top w:val="none" w:sz="0" w:space="0" w:color="auto"/>
            <w:left w:val="none" w:sz="0" w:space="0" w:color="auto"/>
            <w:bottom w:val="none" w:sz="0" w:space="0" w:color="auto"/>
            <w:right w:val="none" w:sz="0" w:space="0" w:color="auto"/>
          </w:divBdr>
          <w:divsChild>
            <w:div w:id="1335961949">
              <w:marLeft w:val="0"/>
              <w:marRight w:val="0"/>
              <w:marTop w:val="0"/>
              <w:marBottom w:val="0"/>
              <w:divBdr>
                <w:top w:val="none" w:sz="0" w:space="0" w:color="auto"/>
                <w:left w:val="none" w:sz="0" w:space="0" w:color="auto"/>
                <w:bottom w:val="none" w:sz="0" w:space="0" w:color="auto"/>
                <w:right w:val="none" w:sz="0" w:space="0" w:color="auto"/>
              </w:divBdr>
              <w:divsChild>
                <w:div w:id="1012218426">
                  <w:marLeft w:val="0"/>
                  <w:marRight w:val="0"/>
                  <w:marTop w:val="0"/>
                  <w:marBottom w:val="0"/>
                  <w:divBdr>
                    <w:top w:val="none" w:sz="0" w:space="0" w:color="auto"/>
                    <w:left w:val="none" w:sz="0" w:space="0" w:color="auto"/>
                    <w:bottom w:val="none" w:sz="0" w:space="0" w:color="auto"/>
                    <w:right w:val="none" w:sz="0" w:space="0" w:color="auto"/>
                  </w:divBdr>
                  <w:divsChild>
                    <w:div w:id="23489817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DFCA-D494-4494-B706-A5064CC0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Employee Benefit Compliance Checklist</vt:lpstr>
    </vt:vector>
  </TitlesOfParts>
  <Company>Microsoft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Benefit Compliance Checklist</dc:title>
  <dc:subject/>
  <dc:creator>Deanna Johnson</dc:creator>
  <cp:keywords/>
  <dc:description/>
  <cp:lastModifiedBy>Jacobs, Jessica</cp:lastModifiedBy>
  <cp:revision>16</cp:revision>
  <cp:lastPrinted>2017-08-07T20:59:00Z</cp:lastPrinted>
  <dcterms:created xsi:type="dcterms:W3CDTF">2018-07-13T13:24:00Z</dcterms:created>
  <dcterms:modified xsi:type="dcterms:W3CDTF">2018-07-20T15:25:00Z</dcterms:modified>
</cp:coreProperties>
</file>