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F2B" w:rsidRPr="00C0624F" w:rsidRDefault="00AA0910" w:rsidP="00B74F90">
      <w:pPr>
        <w:pStyle w:val="Article1"/>
      </w:pPr>
      <w:bookmarkStart w:id="0" w:name="_GoBack"/>
      <w:bookmarkEnd w:id="0"/>
      <w:r w:rsidRPr="00C0624F">
        <w:drawing>
          <wp:anchor distT="0" distB="0" distL="114300" distR="114300" simplePos="0" relativeHeight="251658240" behindDoc="0" locked="1" layoutInCell="1" allowOverlap="1">
            <wp:simplePos x="0" y="0"/>
            <wp:positionH relativeFrom="margin">
              <wp:posOffset>5270500</wp:posOffset>
            </wp:positionH>
            <wp:positionV relativeFrom="margin">
              <wp:posOffset>4445000</wp:posOffset>
            </wp:positionV>
            <wp:extent cx="1645923" cy="1120142"/>
            <wp:effectExtent l="0" t="0" r="0" b="0"/>
            <wp:wrapNone/>
            <wp:docPr id="100021" name="Picture 10002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4758"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mc:AlternateContent>
          <mc:Choice Requires="wps">
            <w:drawing>
              <wp:anchor distT="45720" distB="45720" distL="114300" distR="114300" simplePos="0" relativeHeight="251666432" behindDoc="0" locked="0" layoutInCell="1" allowOverlap="1">
                <wp:simplePos x="0" y="0"/>
                <wp:positionH relativeFrom="column">
                  <wp:posOffset>1595755</wp:posOffset>
                </wp:positionH>
                <wp:positionV relativeFrom="paragraph">
                  <wp:posOffset>0</wp:posOffset>
                </wp:positionV>
                <wp:extent cx="1726565" cy="532511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5325110"/>
                        </a:xfrm>
                        <a:prstGeom prst="rect">
                          <a:avLst/>
                        </a:prstGeom>
                        <a:noFill/>
                        <a:ln w="9525">
                          <a:noFill/>
                          <a:miter lim="800000"/>
                          <a:headEnd/>
                          <a:tailEnd/>
                        </a:ln>
                      </wps:spPr>
                      <wps:txbx>
                        <w:txbxContent>
                          <w:p w:rsidR="00217E82" w:rsidRDefault="00AA0910" w:rsidP="00863EF5">
                            <w:pPr>
                              <w:pStyle w:val="BasicCopy"/>
                            </w:pPr>
                            <w:r w:rsidRPr="00462F69">
                              <w:t xml:space="preserve">during a workweek. However, FLSA regulations permit employers to compensate employees with only half (0.5) of their regular wage rate for overtime hours if </w:t>
                            </w:r>
                            <w:r>
                              <w:t>certain</w:t>
                            </w:r>
                            <w:r w:rsidRPr="00462F69">
                              <w:t xml:space="preserve"> conditions are met</w:t>
                            </w:r>
                            <w:r>
                              <w:t>.</w:t>
                            </w:r>
                            <w:r w:rsidRPr="008D08A1">
                              <w:t xml:space="preserve"> </w:t>
                            </w:r>
                          </w:p>
                          <w:p w:rsidR="00863EF5" w:rsidRDefault="00AA0910" w:rsidP="00863EF5">
                            <w:pPr>
                              <w:pStyle w:val="BasicCopy"/>
                            </w:pPr>
                            <w:r>
                              <w:t xml:space="preserve">Under the proposed rule, </w:t>
                            </w:r>
                            <w:r w:rsidRPr="00462F69">
                              <w:t xml:space="preserve">employers </w:t>
                            </w:r>
                            <w:r>
                              <w:t>could</w:t>
                            </w:r>
                            <w:r w:rsidRPr="00462F69">
                              <w:t xml:space="preserve"> pay bonuses</w:t>
                            </w:r>
                            <w:r>
                              <w:t xml:space="preserve"> and</w:t>
                            </w:r>
                            <w:r w:rsidRPr="00462F69">
                              <w:t xml:space="preserve"> shift differen</w:t>
                            </w:r>
                            <w:r w:rsidRPr="00462F69">
                              <w:t>tials</w:t>
                            </w:r>
                            <w:r>
                              <w:t>,</w:t>
                            </w:r>
                            <w:r w:rsidRPr="00462F69">
                              <w:t xml:space="preserve"> and</w:t>
                            </w:r>
                            <w:r>
                              <w:t xml:space="preserve"> offer</w:t>
                            </w:r>
                            <w:r w:rsidRPr="00462F69">
                              <w:t xml:space="preserve"> other incentive payments to employees who are paid under the fluctuating week method. The proposed changes were issued to clarify conflicting court rulings regarding this method.</w:t>
                            </w:r>
                          </w:p>
                          <w:p w:rsidR="00863EF5" w:rsidRDefault="00AA0910" w:rsidP="00863EF5">
                            <w:pPr>
                              <w:pStyle w:val="BasicCopy"/>
                              <w:spacing w:after="0"/>
                            </w:pPr>
                            <w:r>
                              <w:rPr>
                                <w:b/>
                              </w:rPr>
                              <w:t>Employer Takeaway</w:t>
                            </w:r>
                          </w:p>
                          <w:p w:rsidR="00FE21E7" w:rsidRDefault="00AA0910" w:rsidP="00863EF5">
                            <w:pPr>
                              <w:pStyle w:val="BasicCopy"/>
                            </w:pPr>
                            <w:r w:rsidRPr="00462F69">
                              <w:t>This is only a proposed rule, so it does n</w:t>
                            </w:r>
                            <w:r w:rsidRPr="00462F69">
                              <w:t xml:space="preserve">ot impose any new requirements on employers. </w:t>
                            </w:r>
                            <w:r>
                              <w:t>The Richards Group will keep you updated to new developments.</w:t>
                            </w:r>
                          </w:p>
                          <w:p w:rsidR="001667FA" w:rsidRDefault="001667FA" w:rsidP="001667FA"/>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35.95pt;height:419.3pt;margin-top:0;margin-left:125.65pt;mso-height-percent:0;mso-height-relative:margin;mso-width-percent:0;mso-width-relative:margin;mso-wrap-distance-bottom:3.6pt;mso-wrap-distance-left:9pt;mso-wrap-distance-right:9pt;mso-wrap-distance-top:3.6pt;position:absolute;v-text-anchor:top;z-index:251665408" filled="f" fillcolor="this" stroked="f" strokeweight="0.75pt">
                <v:textbox inset="0,,0">
                  <w:txbxContent>
                    <w:p w:rsidR="00217E82" w:rsidP="00863EF5">
                      <w:pPr>
                        <w:pStyle w:val="BasicCopy"/>
                      </w:pPr>
                      <w:r w:rsidRPr="00462F69">
                        <w:t xml:space="preserve">during a workweek. However, FLSA regulations permit employers to compensate employees with only half (0.5) of their regular wage rate for overtime hours if </w:t>
                      </w:r>
                      <w:r>
                        <w:t>certain</w:t>
                      </w:r>
                      <w:r w:rsidRPr="00462F69">
                        <w:t xml:space="preserve"> conditions are met</w:t>
                      </w:r>
                      <w:r>
                        <w:t>.</w:t>
                      </w:r>
                      <w:r w:rsidRPr="008D08A1">
                        <w:t xml:space="preserve"> </w:t>
                      </w:r>
                    </w:p>
                    <w:p w:rsidR="00863EF5" w:rsidP="00863EF5">
                      <w:pPr>
                        <w:pStyle w:val="BasicCopy"/>
                      </w:pPr>
                      <w:r>
                        <w:t xml:space="preserve">Under the proposed rule, </w:t>
                      </w:r>
                      <w:r w:rsidRPr="00462F69">
                        <w:t xml:space="preserve">employers </w:t>
                      </w:r>
                      <w:r>
                        <w:t>could</w:t>
                      </w:r>
                      <w:r w:rsidRPr="00462F69">
                        <w:t xml:space="preserve"> pay bonuses</w:t>
                      </w:r>
                      <w:r>
                        <w:t xml:space="preserve"> and</w:t>
                      </w:r>
                      <w:r w:rsidRPr="00462F69">
                        <w:t xml:space="preserve"> shift differentials</w:t>
                      </w:r>
                      <w:r>
                        <w:t>,</w:t>
                      </w:r>
                      <w:r w:rsidRPr="00462F69">
                        <w:t xml:space="preserve"> and</w:t>
                      </w:r>
                      <w:r>
                        <w:t xml:space="preserve"> offer</w:t>
                      </w:r>
                      <w:r w:rsidRPr="00462F69">
                        <w:t xml:space="preserve"> other incentive payments to employees who are paid under the fluctuating week method. The proposed changes were issued to clarify conflicting court rulings regarding this method.</w:t>
                      </w:r>
                    </w:p>
                    <w:p w:rsidR="00863EF5" w:rsidP="00863EF5">
                      <w:pPr>
                        <w:pStyle w:val="BasicCopy"/>
                        <w:spacing w:after="0"/>
                      </w:pPr>
                      <w:r>
                        <w:rPr>
                          <w:b/>
                        </w:rPr>
                        <w:t>Employer Takeaway</w:t>
                      </w:r>
                    </w:p>
                    <w:p w:rsidR="00FE21E7" w:rsidP="00863EF5">
                      <w:pPr>
                        <w:pStyle w:val="BasicCopy"/>
                      </w:pPr>
                      <w:r w:rsidRPr="00462F69">
                        <w:t xml:space="preserve">This is only a proposed rule, so it does not impose any new requirements on employers. </w:t>
                      </w:r>
                      <w:r>
                        <w:t>The Richards Group</w:t>
                      </w:r>
                      <w:r>
                        <w:t xml:space="preserve"> will keep you updated to new developments.</w:t>
                      </w:r>
                    </w:p>
                    <w:p w:rsidR="001667FA" w:rsidP="001667FA"/>
                  </w:txbxContent>
                </v:textbox>
                <w10:wrap type="square"/>
              </v:shape>
            </w:pict>
          </mc:Fallback>
        </mc:AlternateContent>
      </w:r>
      <w:r w:rsidR="000E02AF">
        <mc:AlternateContent>
          <mc:Choice Requires="wps">
            <w:drawing>
              <wp:anchor distT="45720" distB="45720" distL="114300" distR="114300" simplePos="0" relativeHeight="251667456" behindDoc="0" locked="0" layoutInCell="1" allowOverlap="1">
                <wp:simplePos x="0" y="0"/>
                <wp:positionH relativeFrom="column">
                  <wp:posOffset>3510915</wp:posOffset>
                </wp:positionH>
                <wp:positionV relativeFrom="paragraph">
                  <wp:posOffset>0</wp:posOffset>
                </wp:positionV>
                <wp:extent cx="1627505" cy="5887720"/>
                <wp:effectExtent l="0" t="0" r="1079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887720"/>
                        </a:xfrm>
                        <a:prstGeom prst="rect">
                          <a:avLst/>
                        </a:prstGeom>
                        <a:noFill/>
                        <a:ln w="9525">
                          <a:noFill/>
                          <a:miter lim="800000"/>
                          <a:headEnd/>
                          <a:tailEnd/>
                        </a:ln>
                      </wps:spPr>
                      <wps:txbx>
                        <w:txbxContent>
                          <w:p w:rsidR="00FE21E7" w:rsidRPr="00D30133" w:rsidRDefault="00AA0910" w:rsidP="000D1A66">
                            <w:pPr>
                              <w:pStyle w:val="Article1"/>
                            </w:pPr>
                            <w:r>
                              <w:t>5 Performance Review Best Practices</w:t>
                            </w:r>
                          </w:p>
                          <w:p w:rsidR="00217E82" w:rsidRDefault="00AA0910" w:rsidP="00217E82">
                            <w:pPr>
                              <w:pStyle w:val="BasicCopy"/>
                            </w:pPr>
                            <w:r>
                              <w:t>Performance reviews are an annual ritual for many employers, but their usefulness has been debated for years.</w:t>
                            </w:r>
                            <w:r>
                              <w:t xml:space="preserve"> To make sure you—and your employees—get the most out of performance reviews, follow these five tips.</w:t>
                            </w:r>
                          </w:p>
                          <w:p w:rsidR="00217E82" w:rsidRDefault="00AA0910" w:rsidP="00217E82">
                            <w:pPr>
                              <w:pStyle w:val="BasicCopy"/>
                            </w:pPr>
                            <w:r w:rsidRPr="0027623E">
                              <w:rPr>
                                <w:b/>
                              </w:rPr>
                              <w:t>1. Perform formal evaluations at the same time for everyone each year.</w:t>
                            </w:r>
                            <w:r>
                              <w:t xml:space="preserve"> While this increases the workload of managers and supervisors during review time, i</w:t>
                            </w:r>
                            <w:r>
                              <w:t>t forces direct comparisons of employees and establishes a nonbiased system.</w:t>
                            </w:r>
                          </w:p>
                          <w:p w:rsidR="00217E82" w:rsidRDefault="00AA0910" w:rsidP="00217E82">
                            <w:pPr>
                              <w:pStyle w:val="BasicCopy"/>
                            </w:pPr>
                            <w:r w:rsidRPr="0027623E">
                              <w:rPr>
                                <w:b/>
                              </w:rPr>
                              <w:t>2. Have regular meetings with supervisory staff.</w:t>
                            </w:r>
                            <w:r>
                              <w:t xml:space="preserve"> Supervisors will learn from each other’s experiences. Provide adequate training and insist on candid observations. </w:t>
                            </w:r>
                          </w:p>
                          <w:p w:rsidR="00FE21E7" w:rsidRPr="008D08A1" w:rsidRDefault="00FE21E7" w:rsidP="00410130">
                            <w:pPr>
                              <w:pStyle w:val="Foote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8.15pt;height:463.6pt;margin-top:0;margin-left:276.45pt;mso-height-percent:0;mso-height-relative:margin;mso-width-percent:0;mso-width-relative:margin;mso-wrap-distance-bottom:3.6pt;mso-wrap-distance-left:9pt;mso-wrap-distance-right:9pt;mso-wrap-distance-top:3.6pt;mso-wrap-style:square;position:absolute;visibility:visible;v-text-anchor:top;z-index:251668480" filled="f" stroked="f">
                <v:textbox inset="0,,0">
                  <w:txbxContent>
                    <w:p w:rsidR="00FE21E7" w:rsidRPr="00D30133" w:rsidP="000D1A66">
                      <w:pPr>
                        <w:pStyle w:val="Article1"/>
                      </w:pPr>
                      <w:r>
                        <w:t>5 Performance Review Best Practices</w:t>
                      </w:r>
                    </w:p>
                    <w:p w:rsidR="00217E82" w:rsidP="00217E82">
                      <w:pPr>
                        <w:pStyle w:val="BasicCopy"/>
                      </w:pPr>
                      <w:r>
                        <w:t>Performance reviews are an annual ritual for many employers, but their usefulness has been debated for years. To make sure you—and your employees—get the most out of performance reviews, follow these five tips.</w:t>
                      </w:r>
                    </w:p>
                    <w:p w:rsidR="00217E82" w:rsidP="00217E82">
                      <w:pPr>
                        <w:pStyle w:val="BasicCopy"/>
                      </w:pPr>
                      <w:r w:rsidRPr="0027623E">
                        <w:rPr>
                          <w:b/>
                        </w:rPr>
                        <w:t>1. Perform formal evaluations at the same time for everyone each year.</w:t>
                      </w:r>
                      <w:r>
                        <w:t xml:space="preserve"> While this increases the workload of managers and supervisors during review time, it forces direct comparisons of employees and establishes a nonbiased system.</w:t>
                      </w:r>
                    </w:p>
                    <w:p w:rsidR="00217E82" w:rsidP="00217E82">
                      <w:pPr>
                        <w:pStyle w:val="BasicCopy"/>
                      </w:pPr>
                      <w:r w:rsidRPr="0027623E">
                        <w:rPr>
                          <w:b/>
                        </w:rPr>
                        <w:t>2. Have regular meetings with supervisory staff.</w:t>
                      </w:r>
                      <w:r>
                        <w:t xml:space="preserve"> Supervisors will learn from each other’s experiences. Provide adequate training and insist on candid observations. </w:t>
                      </w:r>
                    </w:p>
                    <w:p w:rsidR="00FE21E7" w:rsidRPr="008D08A1" w:rsidP="00410130">
                      <w:pPr>
                        <w:pStyle w:val="Footer"/>
                      </w:pPr>
                    </w:p>
                  </w:txbxContent>
                </v:textbox>
                <w10:wrap type="square"/>
              </v:shape>
            </w:pict>
          </mc:Fallback>
        </mc:AlternateContent>
      </w:r>
      <w:r w:rsidR="000E02AF">
        <mc:AlternateContent>
          <mc:Choice Requires="wps">
            <w:drawing>
              <wp:anchor distT="45720" distB="45720" distL="114300" distR="114300" simplePos="0" relativeHeight="251669504" behindDoc="0" locked="0" layoutInCell="1" allowOverlap="1">
                <wp:simplePos x="0" y="0"/>
                <wp:positionH relativeFrom="column">
                  <wp:posOffset>5289280</wp:posOffset>
                </wp:positionH>
                <wp:positionV relativeFrom="paragraph">
                  <wp:posOffset>0</wp:posOffset>
                </wp:positionV>
                <wp:extent cx="1764665" cy="5325110"/>
                <wp:effectExtent l="0" t="0" r="698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325110"/>
                        </a:xfrm>
                        <a:prstGeom prst="rect">
                          <a:avLst/>
                        </a:prstGeom>
                        <a:noFill/>
                        <a:ln w="9525">
                          <a:noFill/>
                          <a:miter lim="800000"/>
                          <a:headEnd/>
                          <a:tailEnd/>
                        </a:ln>
                      </wps:spPr>
                      <wps:txbx>
                        <w:txbxContent>
                          <w:p w:rsidR="00587EF6" w:rsidRDefault="00AA0910" w:rsidP="00587EF6">
                            <w:pPr>
                              <w:pStyle w:val="BasicCopy"/>
                            </w:pPr>
                            <w:r w:rsidRPr="0027623E">
                              <w:rPr>
                                <w:b/>
                              </w:rPr>
                              <w:t>3. Clearly</w:t>
                            </w:r>
                            <w:r w:rsidRPr="0027623E">
                              <w:rPr>
                                <w:b/>
                              </w:rPr>
                              <w:t xml:space="preserve"> communicate to employees what their duties are and what satisfactory performance is. </w:t>
                            </w:r>
                            <w:r>
                              <w:t>Accomplish this through periodic reviews of job descriptions, training, and both formal and informal reviews.</w:t>
                            </w:r>
                          </w:p>
                          <w:p w:rsidR="00587EF6" w:rsidRDefault="00AA0910" w:rsidP="00587EF6">
                            <w:pPr>
                              <w:pStyle w:val="BasicCopy"/>
                            </w:pPr>
                            <w:r w:rsidRPr="0027623E">
                              <w:rPr>
                                <w:b/>
                              </w:rPr>
                              <w:t xml:space="preserve">4. Tell employees the criteria upon which their performance </w:t>
                            </w:r>
                            <w:r w:rsidRPr="0027623E">
                              <w:rPr>
                                <w:b/>
                              </w:rPr>
                              <w:t>will be reviewed.</w:t>
                            </w:r>
                            <w:r>
                              <w:t xml:space="preserve"> Develop standards and establish reasonable goals for employees. Make sure that employees understand the consequences of their failure to improve.</w:t>
                            </w:r>
                          </w:p>
                          <w:p w:rsidR="00587EF6" w:rsidRDefault="00AA0910" w:rsidP="00587EF6">
                            <w:pPr>
                              <w:pStyle w:val="BasicCopy"/>
                            </w:pPr>
                            <w:r w:rsidRPr="0027623E">
                              <w:rPr>
                                <w:b/>
                              </w:rPr>
                              <w:t>5. Don’t wait until the annual evaluation to provide feedback; offer it throughout the year.</w:t>
                            </w:r>
                            <w:r>
                              <w:t xml:space="preserve"> Give both positive and negative feedback regularly or it becomes less useful.</w:t>
                            </w:r>
                          </w:p>
                          <w:p w:rsidR="00587EF6" w:rsidRPr="00C0624F" w:rsidRDefault="00AA0910" w:rsidP="00587EF6">
                            <w:pPr>
                              <w:pStyle w:val="BasicCopy"/>
                            </w:pPr>
                            <w:r>
                              <w:t>Speak with us today for more workplace tips and tricks.</w:t>
                            </w:r>
                          </w:p>
                          <w:p w:rsidR="00FE21E7" w:rsidRDefault="00FE21E7" w:rsidP="00FE21E7">
                            <w:pPr>
                              <w:pStyle w:val="Header"/>
                            </w:pPr>
                          </w:p>
                          <w:p w:rsidR="00FE21E7" w:rsidRDefault="00FE21E7" w:rsidP="001667FA"/>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38.95pt;height:419.3pt;margin-top:0;margin-left:416.5pt;mso-height-percent:0;mso-height-relative:margin;mso-width-percent:0;mso-width-relative:margin;mso-wrap-distance-bottom:3.6pt;mso-wrap-distance-left:9pt;mso-wrap-distance-right:9pt;mso-wrap-distance-top:3.6pt;mso-wrap-style:square;position:absolute;visibility:visible;v-text-anchor:top;z-index:251670528" filled="f" stroked="f">
                <v:textbox inset="0,,0">
                  <w:txbxContent>
                    <w:p w:rsidR="00587EF6" w:rsidP="00587EF6">
                      <w:pPr>
                        <w:pStyle w:val="BasicCopy"/>
                      </w:pPr>
                      <w:r w:rsidRPr="0027623E">
                        <w:rPr>
                          <w:b/>
                        </w:rPr>
                        <w:t xml:space="preserve">3. Clearly communicate to employees what their duties are and what satisfactory performance is. </w:t>
                      </w:r>
                      <w:r>
                        <w:t>Accomplish this through periodic reviews of job descriptions, training, and both formal and informal reviews.</w:t>
                      </w:r>
                    </w:p>
                    <w:p w:rsidR="00587EF6" w:rsidP="00587EF6">
                      <w:pPr>
                        <w:pStyle w:val="BasicCopy"/>
                      </w:pPr>
                      <w:r w:rsidRPr="0027623E">
                        <w:rPr>
                          <w:b/>
                        </w:rPr>
                        <w:t>4. Tell employees the criteria upon which their performance will be reviewed.</w:t>
                      </w:r>
                      <w:r>
                        <w:t xml:space="preserve"> Develop standards and establish reasonable goals for employees. Make sure that employees understand the consequences of their failure to improve.</w:t>
                      </w:r>
                    </w:p>
                    <w:p w:rsidR="00587EF6" w:rsidP="00587EF6">
                      <w:pPr>
                        <w:pStyle w:val="BasicCopy"/>
                      </w:pPr>
                      <w:r w:rsidRPr="0027623E">
                        <w:rPr>
                          <w:b/>
                        </w:rPr>
                        <w:t>5. Don’t wait until the annual evaluation to provide feedback; offer it throughout the year.</w:t>
                      </w:r>
                      <w:r>
                        <w:t xml:space="preserve"> Give both positive and negative feedback regularly or it becomes less useful.</w:t>
                      </w:r>
                    </w:p>
                    <w:p w:rsidR="00587EF6" w:rsidRPr="00C0624F" w:rsidP="00587EF6">
                      <w:pPr>
                        <w:pStyle w:val="BasicCopy"/>
                      </w:pPr>
                      <w:r>
                        <w:t>Speak with us today for more workplace tips and tricks.</w:t>
                      </w:r>
                    </w:p>
                    <w:p w:rsidR="00FE21E7" w:rsidP="00FE21E7">
                      <w:pPr>
                        <w:pStyle w:val="Header"/>
                      </w:pPr>
                    </w:p>
                    <w:p w:rsidR="00FE21E7" w:rsidP="001667FA"/>
                  </w:txbxContent>
                </v:textbox>
                <w10:wrap type="square"/>
              </v:shape>
            </w:pict>
          </mc:Fallback>
        </mc:AlternateContent>
      </w:r>
      <w:r w:rsidR="00217E82">
        <mc:AlternateContent>
          <mc:Choice Requires="wps">
            <w:drawing>
              <wp:anchor distT="45720" distB="45720" distL="114300" distR="114300" simplePos="0" relativeHeight="251663360" behindDoc="0" locked="0" layoutInCell="1" allowOverlap="1">
                <wp:simplePos x="0" y="0"/>
                <wp:positionH relativeFrom="column">
                  <wp:posOffset>-163195</wp:posOffset>
                </wp:positionH>
                <wp:positionV relativeFrom="paragraph">
                  <wp:posOffset>3810</wp:posOffset>
                </wp:positionV>
                <wp:extent cx="1627505" cy="4959350"/>
                <wp:effectExtent l="0" t="0" r="1079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4959350"/>
                        </a:xfrm>
                        <a:prstGeom prst="rect">
                          <a:avLst/>
                        </a:prstGeom>
                        <a:noFill/>
                        <a:ln w="9525">
                          <a:noFill/>
                          <a:miter lim="800000"/>
                          <a:headEnd/>
                          <a:tailEnd/>
                        </a:ln>
                      </wps:spPr>
                      <wps:txbx>
                        <w:txbxContent>
                          <w:p w:rsidR="00434FC1" w:rsidRDefault="00AA0910" w:rsidP="007B2448">
                            <w:pPr>
                              <w:pStyle w:val="BasicCopy"/>
                              <w:spacing w:after="60"/>
                            </w:pPr>
                            <w:r w:rsidRPr="000D1A66">
                              <w:rPr>
                                <w:rStyle w:val="Article1Char"/>
                                <w:rFonts w:asciiTheme="minorHAnsi" w:hAnsiTheme="minorHAnsi"/>
                              </w:rPr>
                              <w:t>DOL Proposes Revisions to the Fluctuating Workweek Overtime Method</w:t>
                            </w:r>
                          </w:p>
                          <w:p w:rsidR="00863EF5" w:rsidRDefault="00AA0910" w:rsidP="00863EF5">
                            <w:pPr>
                              <w:pStyle w:val="BasicCopy"/>
                              <w:rPr>
                                <w:noProof/>
                              </w:rPr>
                            </w:pPr>
                            <w:r>
                              <w:rPr>
                                <w:noProof/>
                              </w:rPr>
                              <w:t>In</w:t>
                            </w:r>
                            <w:r w:rsidRPr="00462F69">
                              <w:rPr>
                                <w:noProof/>
                              </w:rPr>
                              <w:t xml:space="preserve"> Nov</w:t>
                            </w:r>
                            <w:r>
                              <w:rPr>
                                <w:noProof/>
                              </w:rPr>
                              <w:t>ember</w:t>
                            </w:r>
                            <w:r w:rsidRPr="00462F69">
                              <w:rPr>
                                <w:noProof/>
                              </w:rPr>
                              <w:t xml:space="preserve"> 2019, the U.S. Department of Labor (DOL) published a proposed rule to update the “fluctuating workweek” method for calculating employee overtime wages under the Fair Labor Standards Act (FLSA). The fluctuating workweek method provides employers a cost-sav</w:t>
                            </w:r>
                            <w:r w:rsidRPr="00462F69">
                              <w:rPr>
                                <w:noProof/>
                              </w:rPr>
                              <w:t xml:space="preserve">ing option to compensate employees who are not exempt from the </w:t>
                            </w:r>
                            <w:r>
                              <w:rPr>
                                <w:noProof/>
                              </w:rPr>
                              <w:t>a</w:t>
                            </w:r>
                            <w:r w:rsidRPr="00462F69">
                              <w:rPr>
                                <w:noProof/>
                              </w:rPr>
                              <w:t>ct’s overtime wage payment requirements.</w:t>
                            </w:r>
                          </w:p>
                          <w:p w:rsidR="00410130" w:rsidRPr="008D08A1" w:rsidRDefault="00AA0910" w:rsidP="00863EF5">
                            <w:pPr>
                              <w:pStyle w:val="BasicCopy"/>
                            </w:pPr>
                            <w:r>
                              <w:t>Currently, the</w:t>
                            </w:r>
                            <w:r w:rsidRPr="00462F69">
                              <w:t xml:space="preserve"> FLSA requires employers to compensate employees at a rate of one and one-half (1.5) times the regular wage rate for every hour they work</w:t>
                            </w:r>
                            <w:r w:rsidRPr="00462F69">
                              <w:t xml:space="preserve"> over 40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8.15pt;height:390.5pt;margin-top:0.3pt;margin-left:-12.85pt;mso-height-percent:0;mso-height-relative:margin;mso-width-percent:0;mso-width-relative:margin;mso-wrap-distance-bottom:3.6pt;mso-wrap-distance-left:9pt;mso-wrap-distance-right:9pt;mso-wrap-distance-top:3.6pt;mso-wrap-style:square;position:absolute;visibility:visible;v-text-anchor:top;z-index:251664384" filled="f" stroked="f">
                <v:textbox inset="0,,0">
                  <w:txbxContent>
                    <w:p w:rsidR="00434FC1" w:rsidP="007B2448">
                      <w:pPr>
                        <w:pStyle w:val="BasicCopy"/>
                        <w:spacing w:after="60"/>
                      </w:pPr>
                      <w:r w:rsidRPr="000D1A66">
                        <w:rPr>
                          <w:rStyle w:val="Article1Char"/>
                          <w:rFonts w:asciiTheme="minorHAnsi" w:hAnsiTheme="minorHAnsi"/>
                        </w:rPr>
                        <w:t>DOL Proposes Revisions to the Fluctuating Workweek Overtime Method</w:t>
                      </w:r>
                    </w:p>
                    <w:p w:rsidR="00863EF5" w:rsidP="00863EF5">
                      <w:pPr>
                        <w:pStyle w:val="BasicCopy"/>
                        <w:rPr>
                          <w:noProof/>
                        </w:rPr>
                      </w:pPr>
                      <w:r>
                        <w:rPr>
                          <w:noProof/>
                        </w:rPr>
                        <w:t>I</w:t>
                      </w:r>
                      <w:r>
                        <w:rPr>
                          <w:noProof/>
                        </w:rPr>
                        <w:t>n</w:t>
                      </w:r>
                      <w:r w:rsidRPr="00462F69">
                        <w:rPr>
                          <w:noProof/>
                        </w:rPr>
                        <w:t xml:space="preserve"> Nov</w:t>
                      </w:r>
                      <w:r>
                        <w:rPr>
                          <w:noProof/>
                        </w:rPr>
                        <w:t>ember</w:t>
                      </w:r>
                      <w:r w:rsidRPr="00462F69">
                        <w:rPr>
                          <w:noProof/>
                        </w:rPr>
                        <w:t xml:space="preserve"> 2019, the U.S. Department of Labor (DOL) published a proposed rule to update the “fluctuating workweek” method for calculating employee overtime wages under the Fair Labor Standards Act (FLSA). The fluctuating workweek method provides employers a cost-saving option to compensate employees who are not exempt from the </w:t>
                      </w:r>
                      <w:r>
                        <w:rPr>
                          <w:noProof/>
                        </w:rPr>
                        <w:t>a</w:t>
                      </w:r>
                      <w:r w:rsidRPr="00462F69">
                        <w:rPr>
                          <w:noProof/>
                        </w:rPr>
                        <w:t>ct’s overtime wage payment requirements.</w:t>
                      </w:r>
                    </w:p>
                    <w:p w:rsidR="00410130" w:rsidRPr="008D08A1" w:rsidP="00863EF5">
                      <w:pPr>
                        <w:pStyle w:val="BasicCopy"/>
                      </w:pPr>
                      <w:r>
                        <w:t>Currently, the</w:t>
                      </w:r>
                      <w:r w:rsidRPr="00462F69">
                        <w:t xml:space="preserve"> FLSA requires employers to compensate employees at a rate of one and one-half (1.5) times the regular wage rate for every hour they work over 40 </w:t>
                      </w:r>
                    </w:p>
                  </w:txbxContent>
                </v:textbox>
                <w10:wrap type="square"/>
              </v:shape>
            </w:pict>
          </mc:Fallback>
        </mc:AlternateContent>
      </w:r>
      <w:r w:rsidR="003F1B86" w:rsidRPr="00130CBD">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1615440</wp:posOffset>
                </wp:positionV>
                <wp:extent cx="7576185" cy="307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6185" cy="307975"/>
                        </a:xfrm>
                        <a:prstGeom prst="rect">
                          <a:avLst/>
                        </a:prstGeom>
                        <a:noFill/>
                        <a:ln w="6350">
                          <a:noFill/>
                        </a:ln>
                      </wps:spPr>
                      <wps:txbx>
                        <w:txbxContent>
                          <w:p w:rsidR="00C0624F" w:rsidRPr="00AD3A69" w:rsidRDefault="00AA0910" w:rsidP="008D08A1">
                            <w:pPr>
                              <w:pStyle w:val="HeaderInfo"/>
                            </w:pPr>
                            <w:r w:rsidRPr="00AD3A69">
                              <w:t>Provided by</w:t>
                            </w:r>
                            <w:r>
                              <w:t xml:space="preserve"> </w:t>
                            </w:r>
                            <w:r w:rsidRPr="008D08A1">
                              <w:rPr>
                                <w:b/>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width:596.55pt;height:24.25pt;margin-top:127.2pt;margin-left:0;mso-height-percent:0;mso-height-relative:margin;mso-position-horizontal:center;mso-position-horizontal-relative:margin;mso-position-vertical-relative:page;mso-width-percent:0;mso-width-relative:margin;mso-wrap-distance-bottom:0;mso-wrap-distance-left:9pt;mso-wrap-distance-right:9pt;mso-wrap-distance-top:0;position:absolute;v-text-anchor:top;z-index:251661312" filled="f" fillcolor="this" stroked="f" strokeweight="0.5pt">
                <v:textbox>
                  <w:txbxContent>
                    <w:p w:rsidR="00C0624F" w:rsidRPr="00AD3A69" w:rsidP="008D08A1">
                      <w:pPr>
                        <w:pStyle w:val="HeaderInfo"/>
                      </w:pPr>
                      <w:r w:rsidRPr="00AD3A69">
                        <w:t>Provided by</w:t>
                      </w:r>
                      <w:r>
                        <w:t xml:space="preserve"> </w:t>
                      </w:r>
                      <w:r w:rsidRPr="008D08A1">
                        <w:rPr>
                          <w:b/>
                        </w:rPr>
                        <w:t>The Richards Group</w:t>
                      </w:r>
                    </w:p>
                  </w:txbxContent>
                </v:textbox>
                <w10:wrap anchorx="margin"/>
              </v:shape>
            </w:pict>
          </mc:Fallback>
        </mc:AlternateContent>
      </w:r>
      <w:r w:rsidR="00CA41E9" w:rsidRPr="00130CBD">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307975</wp:posOffset>
                </wp:positionV>
                <wp:extent cx="3311525"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1525" cy="331470"/>
                        </a:xfrm>
                        <a:prstGeom prst="rect">
                          <a:avLst/>
                        </a:prstGeom>
                        <a:noFill/>
                        <a:ln w="6350">
                          <a:noFill/>
                        </a:ln>
                      </wps:spPr>
                      <wps:txbx>
                        <w:txbxContent>
                          <w:p w:rsidR="00C0624F" w:rsidRPr="00AD3A69" w:rsidRDefault="00AA0910" w:rsidP="008D08A1">
                            <w:pPr>
                              <w:pStyle w:val="HeaderInfo"/>
                            </w:pPr>
                            <w:r>
                              <w:rPr>
                                <w:b/>
                              </w:rPr>
                              <w:t>January</w:t>
                            </w:r>
                            <w:r w:rsidRPr="00AD3A69">
                              <w:t xml:space="preserve"> </w:t>
                            </w:r>
                            <w:r w:rsidRPr="00766ECB">
                              <w:t>20</w:t>
                            </w:r>
                            <w:r w:rsidR="00FC2C40">
                              <w:t>2</w:t>
                            </w:r>
                            <w: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width:260.75pt;height:26.1pt;margin-top:24.2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top;z-index:251660288" filled="f" stroked="f" strokeweight="0.5pt">
                <v:textbox>
                  <w:txbxContent>
                    <w:p w:rsidR="00C0624F" w:rsidRPr="00AD3A69" w:rsidP="008D08A1">
                      <w:pPr>
                        <w:pStyle w:val="HeaderInfo"/>
                      </w:pPr>
                      <w:r>
                        <w:rPr>
                          <w:b/>
                        </w:rPr>
                        <w:t>January</w:t>
                      </w:r>
                      <w:r w:rsidRPr="00AD3A69">
                        <w:t xml:space="preserve"> </w:t>
                      </w:r>
                      <w:r w:rsidRPr="00766ECB">
                        <w:t>20</w:t>
                      </w:r>
                      <w:r w:rsidR="00FC2C40">
                        <w:t>2</w:t>
                      </w:r>
                      <w:r>
                        <w:t>0</w:t>
                      </w:r>
                    </w:p>
                  </w:txbxContent>
                </v:textbox>
                <w10:wrap anchorx="margin"/>
              </v:shape>
            </w:pict>
          </mc:Fallback>
        </mc:AlternateContent>
      </w:r>
    </w:p>
    <w:sectPr w:rsidR="00044F2B" w:rsidRPr="00C0624F" w:rsidSect="00B95FD3">
      <w:headerReference w:type="default" r:id="rId9"/>
      <w:footerReference w:type="default" r:id="rId10"/>
      <w:type w:val="continuous"/>
      <w:pgSz w:w="12240" w:h="15840"/>
      <w:pgMar w:top="5400" w:right="720" w:bottom="2592" w:left="720" w:header="720" w:footer="720" w:gutter="0"/>
      <w:cols w:num="4" w:space="3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A0910">
      <w:pPr>
        <w:spacing w:after="0" w:line="240" w:lineRule="auto"/>
      </w:pPr>
      <w:r>
        <w:separator/>
      </w:r>
    </w:p>
  </w:endnote>
  <w:endnote w:type="continuationSeparator" w:id="0">
    <w:p w:rsidR="00000000" w:rsidRDefault="00AA0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637" w:rsidRDefault="00AA0910">
    <w:pPr>
      <w:pStyle w:val="Footer"/>
    </w:pPr>
    <w:r w:rsidRPr="008D08A1">
      <w:rPr>
        <w:noProof/>
      </w:rPr>
      <mc:AlternateContent>
        <mc:Choice Requires="wps">
          <w:drawing>
            <wp:anchor distT="0" distB="0" distL="114300" distR="114300" simplePos="0" relativeHeight="251661312" behindDoc="1" locked="0" layoutInCell="1" allowOverlap="1">
              <wp:simplePos x="0" y="0"/>
              <wp:positionH relativeFrom="column">
                <wp:posOffset>-251209</wp:posOffset>
              </wp:positionH>
              <wp:positionV relativeFrom="page">
                <wp:posOffset>9550958</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232637" w:rsidRPr="00044F2B" w:rsidRDefault="00AA0910"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sidR="00D81CA5">
                            <w:rPr>
                              <w:rFonts w:ascii="Arial" w:hAnsi="Arial" w:cs="Arial"/>
                              <w:color w:val="808080" w:themeColor="background1" w:themeShade="80"/>
                              <w:sz w:val="16"/>
                              <w:szCs w:val="16"/>
                            </w:rPr>
                            <w:t>19</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2050" type="#_x0000_t202" style="width:163.1pt;height:16.55pt;margin-top:752.05pt;margin-left:-19.8pt;mso-height-percent:0;mso-height-relative:margin;mso-position-vertical-relative:page;mso-width-percent:0;mso-width-relative:margin;mso-wrap-distance-bottom:0;mso-wrap-distance-left:9pt;mso-wrap-distance-right:9pt;mso-wrap-distance-top:0;mso-wrap-style:square;position:absolute;visibility:visible;v-text-anchor:top;z-index:-251654144" filled="f" stroked="f" strokeweight="0.5pt">
              <v:textbox>
                <w:txbxContent>
                  <w:p w:rsidR="00232637" w:rsidRPr="00044F2B"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sidR="00D81CA5">
                      <w:rPr>
                        <w:rFonts w:ascii="Arial" w:hAnsi="Arial" w:cs="Arial"/>
                        <w:color w:val="808080" w:themeColor="background1" w:themeShade="80"/>
                        <w:sz w:val="16"/>
                        <w:szCs w:val="16"/>
                      </w:rPr>
                      <w:t>19</w:t>
                    </w:r>
                    <w:r w:rsidRPr="00044F2B">
                      <w:rPr>
                        <w:rFonts w:ascii="Arial" w:hAnsi="Arial" w:cs="Arial"/>
                        <w:color w:val="808080" w:themeColor="background1" w:themeShade="80"/>
                        <w:sz w:val="16"/>
                        <w:szCs w:val="16"/>
                      </w:rPr>
                      <w:t xml:space="preserve"> Zywave, Inc. All rights reserved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A0910">
      <w:pPr>
        <w:spacing w:after="0" w:line="240" w:lineRule="auto"/>
      </w:pPr>
      <w:r>
        <w:separator/>
      </w:r>
    </w:p>
  </w:footnote>
  <w:footnote w:type="continuationSeparator" w:id="0">
    <w:p w:rsidR="00000000" w:rsidRDefault="00AA0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F2B" w:rsidRDefault="00AA0910">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61F8">
      <w:rPr>
        <w:noProof/>
      </w:rPr>
      <mc:AlternateContent>
        <mc:Choice Requires="wps">
          <w:drawing>
            <wp:anchor distT="0" distB="0" distL="114300" distR="114300" simplePos="0" relativeHeight="251659264" behindDoc="0" locked="0" layoutInCell="1" allowOverlap="1">
              <wp:simplePos x="0" y="0"/>
              <wp:positionH relativeFrom="column">
                <wp:posOffset>3415294</wp:posOffset>
              </wp:positionH>
              <wp:positionV relativeFrom="paragraph">
                <wp:posOffset>2984500</wp:posOffset>
              </wp:positionV>
              <wp:extent cx="0" cy="4977441"/>
              <wp:effectExtent l="19050" t="0" r="19050" b="33020"/>
              <wp:wrapNone/>
              <wp:docPr id="2" name="Straight Connector 2"/>
              <wp:cNvGraphicFramePr/>
              <a:graphic xmlns:a="http://schemas.openxmlformats.org/drawingml/2006/main">
                <a:graphicData uri="http://schemas.microsoft.com/office/word/2010/wordprocessingShape">
                  <wps:wsp>
                    <wps:cNvCnPr/>
                    <wps:spPr>
                      <a:xfrm>
                        <a:off x="0" y="0"/>
                        <a:ext cx="0" cy="4977441"/>
                      </a:xfrm>
                      <a:prstGeom prst="line">
                        <a:avLst/>
                      </a:prstGeom>
                      <a:ln w="317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2049" style="mso-wrap-distance-bottom:0;mso-wrap-distance-left:9pt;mso-wrap-distance-right:9pt;mso-wrap-distance-top:0;mso-wrap-style:square;position:absolute;visibility:visible;z-index:251660288" from="268.9pt,235pt" to="268.9pt,626.9pt" strokecolor="#a5a5a5" strokeweight="2.5pt">
              <v:stroke joinstyle="miter"/>
            </v:line>
          </w:pict>
        </mc:Fallback>
      </mc:AlternateContent>
    </w:r>
    <w:r w:rsidR="00CC61F8">
      <w:rPr>
        <w:noProof/>
      </w:rPr>
      <w:t>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794"/>
    <w:multiLevelType w:val="hybridMultilevel"/>
    <w:tmpl w:val="431E6B16"/>
    <w:lvl w:ilvl="0" w:tplc="AABEC956">
      <w:start w:val="1"/>
      <w:numFmt w:val="decimal"/>
      <w:pStyle w:val="NumberedList"/>
      <w:lvlText w:val="%1."/>
      <w:lvlJc w:val="left"/>
      <w:pPr>
        <w:ind w:left="720" w:hanging="360"/>
      </w:pPr>
      <w:rPr>
        <w:rFonts w:hint="default"/>
        <w:b/>
        <w:i w:val="0"/>
      </w:rPr>
    </w:lvl>
    <w:lvl w:ilvl="1" w:tplc="7534CA8A" w:tentative="1">
      <w:start w:val="1"/>
      <w:numFmt w:val="lowerLetter"/>
      <w:lvlText w:val="%2."/>
      <w:lvlJc w:val="left"/>
      <w:pPr>
        <w:ind w:left="1440" w:hanging="360"/>
      </w:pPr>
    </w:lvl>
    <w:lvl w:ilvl="2" w:tplc="B886A524" w:tentative="1">
      <w:start w:val="1"/>
      <w:numFmt w:val="lowerRoman"/>
      <w:lvlText w:val="%3."/>
      <w:lvlJc w:val="right"/>
      <w:pPr>
        <w:ind w:left="2160" w:hanging="180"/>
      </w:pPr>
    </w:lvl>
    <w:lvl w:ilvl="3" w:tplc="D6946D26" w:tentative="1">
      <w:start w:val="1"/>
      <w:numFmt w:val="decimal"/>
      <w:lvlText w:val="%4."/>
      <w:lvlJc w:val="left"/>
      <w:pPr>
        <w:ind w:left="2880" w:hanging="360"/>
      </w:pPr>
    </w:lvl>
    <w:lvl w:ilvl="4" w:tplc="C540B568" w:tentative="1">
      <w:start w:val="1"/>
      <w:numFmt w:val="lowerLetter"/>
      <w:lvlText w:val="%5."/>
      <w:lvlJc w:val="left"/>
      <w:pPr>
        <w:ind w:left="3600" w:hanging="360"/>
      </w:pPr>
    </w:lvl>
    <w:lvl w:ilvl="5" w:tplc="D1BA5CAE" w:tentative="1">
      <w:start w:val="1"/>
      <w:numFmt w:val="lowerRoman"/>
      <w:lvlText w:val="%6."/>
      <w:lvlJc w:val="right"/>
      <w:pPr>
        <w:ind w:left="4320" w:hanging="180"/>
      </w:pPr>
    </w:lvl>
    <w:lvl w:ilvl="6" w:tplc="0B087106" w:tentative="1">
      <w:start w:val="1"/>
      <w:numFmt w:val="decimal"/>
      <w:lvlText w:val="%7."/>
      <w:lvlJc w:val="left"/>
      <w:pPr>
        <w:ind w:left="5040" w:hanging="360"/>
      </w:pPr>
    </w:lvl>
    <w:lvl w:ilvl="7" w:tplc="52A88DAC" w:tentative="1">
      <w:start w:val="1"/>
      <w:numFmt w:val="lowerLetter"/>
      <w:lvlText w:val="%8."/>
      <w:lvlJc w:val="left"/>
      <w:pPr>
        <w:ind w:left="5760" w:hanging="360"/>
      </w:pPr>
    </w:lvl>
    <w:lvl w:ilvl="8" w:tplc="87AAF5B8" w:tentative="1">
      <w:start w:val="1"/>
      <w:numFmt w:val="lowerRoman"/>
      <w:lvlText w:val="%9."/>
      <w:lvlJc w:val="right"/>
      <w:pPr>
        <w:ind w:left="6480" w:hanging="180"/>
      </w:pPr>
    </w:lvl>
  </w:abstractNum>
  <w:abstractNum w:abstractNumId="1" w15:restartNumberingAfterBreak="0">
    <w:nsid w:val="0F5D165A"/>
    <w:multiLevelType w:val="hybridMultilevel"/>
    <w:tmpl w:val="8EE20A00"/>
    <w:lvl w:ilvl="0" w:tplc="060C7870">
      <w:start w:val="1"/>
      <w:numFmt w:val="bullet"/>
      <w:pStyle w:val="BulletedList"/>
      <w:lvlText w:val=""/>
      <w:lvlJc w:val="left"/>
      <w:pPr>
        <w:ind w:left="720" w:hanging="360"/>
      </w:pPr>
      <w:rPr>
        <w:rFonts w:ascii="Symbol" w:hAnsi="Symbol" w:hint="default"/>
      </w:rPr>
    </w:lvl>
    <w:lvl w:ilvl="1" w:tplc="DA18875E" w:tentative="1">
      <w:start w:val="1"/>
      <w:numFmt w:val="bullet"/>
      <w:lvlText w:val="o"/>
      <w:lvlJc w:val="left"/>
      <w:pPr>
        <w:ind w:left="1440" w:hanging="360"/>
      </w:pPr>
      <w:rPr>
        <w:rFonts w:ascii="Courier New" w:hAnsi="Courier New" w:cs="Courier New" w:hint="default"/>
      </w:rPr>
    </w:lvl>
    <w:lvl w:ilvl="2" w:tplc="ABBCE106" w:tentative="1">
      <w:start w:val="1"/>
      <w:numFmt w:val="bullet"/>
      <w:lvlText w:val=""/>
      <w:lvlJc w:val="left"/>
      <w:pPr>
        <w:ind w:left="2160" w:hanging="360"/>
      </w:pPr>
      <w:rPr>
        <w:rFonts w:ascii="Wingdings" w:hAnsi="Wingdings" w:hint="default"/>
      </w:rPr>
    </w:lvl>
    <w:lvl w:ilvl="3" w:tplc="29B44DB8" w:tentative="1">
      <w:start w:val="1"/>
      <w:numFmt w:val="bullet"/>
      <w:lvlText w:val=""/>
      <w:lvlJc w:val="left"/>
      <w:pPr>
        <w:ind w:left="2880" w:hanging="360"/>
      </w:pPr>
      <w:rPr>
        <w:rFonts w:ascii="Symbol" w:hAnsi="Symbol" w:hint="default"/>
      </w:rPr>
    </w:lvl>
    <w:lvl w:ilvl="4" w:tplc="1C787D34" w:tentative="1">
      <w:start w:val="1"/>
      <w:numFmt w:val="bullet"/>
      <w:lvlText w:val="o"/>
      <w:lvlJc w:val="left"/>
      <w:pPr>
        <w:ind w:left="3600" w:hanging="360"/>
      </w:pPr>
      <w:rPr>
        <w:rFonts w:ascii="Courier New" w:hAnsi="Courier New" w:cs="Courier New" w:hint="default"/>
      </w:rPr>
    </w:lvl>
    <w:lvl w:ilvl="5" w:tplc="C3D8C3FA" w:tentative="1">
      <w:start w:val="1"/>
      <w:numFmt w:val="bullet"/>
      <w:lvlText w:val=""/>
      <w:lvlJc w:val="left"/>
      <w:pPr>
        <w:ind w:left="4320" w:hanging="360"/>
      </w:pPr>
      <w:rPr>
        <w:rFonts w:ascii="Wingdings" w:hAnsi="Wingdings" w:hint="default"/>
      </w:rPr>
    </w:lvl>
    <w:lvl w:ilvl="6" w:tplc="D688D36E" w:tentative="1">
      <w:start w:val="1"/>
      <w:numFmt w:val="bullet"/>
      <w:lvlText w:val=""/>
      <w:lvlJc w:val="left"/>
      <w:pPr>
        <w:ind w:left="5040" w:hanging="360"/>
      </w:pPr>
      <w:rPr>
        <w:rFonts w:ascii="Symbol" w:hAnsi="Symbol" w:hint="default"/>
      </w:rPr>
    </w:lvl>
    <w:lvl w:ilvl="7" w:tplc="A44A46E2" w:tentative="1">
      <w:start w:val="1"/>
      <w:numFmt w:val="bullet"/>
      <w:lvlText w:val="o"/>
      <w:lvlJc w:val="left"/>
      <w:pPr>
        <w:ind w:left="5760" w:hanging="360"/>
      </w:pPr>
      <w:rPr>
        <w:rFonts w:ascii="Courier New" w:hAnsi="Courier New" w:cs="Courier New" w:hint="default"/>
      </w:rPr>
    </w:lvl>
    <w:lvl w:ilvl="8" w:tplc="DF265D36" w:tentative="1">
      <w:start w:val="1"/>
      <w:numFmt w:val="bullet"/>
      <w:lvlText w:val=""/>
      <w:lvlJc w:val="left"/>
      <w:pPr>
        <w:ind w:left="6480" w:hanging="360"/>
      </w:pPr>
      <w:rPr>
        <w:rFonts w:ascii="Wingdings" w:hAnsi="Wingdings" w:hint="default"/>
      </w:rPr>
    </w:lvl>
  </w:abstractNum>
  <w:abstractNum w:abstractNumId="2" w15:restartNumberingAfterBreak="0">
    <w:nsid w:val="713B46A2"/>
    <w:multiLevelType w:val="hybridMultilevel"/>
    <w:tmpl w:val="427E3B28"/>
    <w:lvl w:ilvl="0" w:tplc="8D2EB3B2">
      <w:start w:val="1"/>
      <w:numFmt w:val="bullet"/>
      <w:pStyle w:val="BulletList"/>
      <w:lvlText w:val=""/>
      <w:lvlJc w:val="left"/>
      <w:pPr>
        <w:ind w:left="720" w:hanging="360"/>
      </w:pPr>
      <w:rPr>
        <w:rFonts w:ascii="Symbol" w:hAnsi="Symbol" w:hint="default"/>
      </w:rPr>
    </w:lvl>
    <w:lvl w:ilvl="1" w:tplc="2CF28FCC">
      <w:start w:val="1"/>
      <w:numFmt w:val="bullet"/>
      <w:pStyle w:val="SubBullet"/>
      <w:lvlText w:val="o"/>
      <w:lvlJc w:val="left"/>
      <w:pPr>
        <w:ind w:left="1440" w:hanging="360"/>
      </w:pPr>
      <w:rPr>
        <w:rFonts w:ascii="Courier New" w:hAnsi="Courier New" w:cs="Courier New" w:hint="default"/>
      </w:rPr>
    </w:lvl>
    <w:lvl w:ilvl="2" w:tplc="F0D6FDDA" w:tentative="1">
      <w:start w:val="1"/>
      <w:numFmt w:val="bullet"/>
      <w:lvlText w:val=""/>
      <w:lvlJc w:val="left"/>
      <w:pPr>
        <w:ind w:left="2160" w:hanging="360"/>
      </w:pPr>
      <w:rPr>
        <w:rFonts w:ascii="Wingdings" w:hAnsi="Wingdings" w:hint="default"/>
      </w:rPr>
    </w:lvl>
    <w:lvl w:ilvl="3" w:tplc="464C3D78" w:tentative="1">
      <w:start w:val="1"/>
      <w:numFmt w:val="bullet"/>
      <w:lvlText w:val=""/>
      <w:lvlJc w:val="left"/>
      <w:pPr>
        <w:ind w:left="2880" w:hanging="360"/>
      </w:pPr>
      <w:rPr>
        <w:rFonts w:ascii="Symbol" w:hAnsi="Symbol" w:hint="default"/>
      </w:rPr>
    </w:lvl>
    <w:lvl w:ilvl="4" w:tplc="79DA1698" w:tentative="1">
      <w:start w:val="1"/>
      <w:numFmt w:val="bullet"/>
      <w:lvlText w:val="o"/>
      <w:lvlJc w:val="left"/>
      <w:pPr>
        <w:ind w:left="3600" w:hanging="360"/>
      </w:pPr>
      <w:rPr>
        <w:rFonts w:ascii="Courier New" w:hAnsi="Courier New" w:cs="Courier New" w:hint="default"/>
      </w:rPr>
    </w:lvl>
    <w:lvl w:ilvl="5" w:tplc="49BAF378" w:tentative="1">
      <w:start w:val="1"/>
      <w:numFmt w:val="bullet"/>
      <w:lvlText w:val=""/>
      <w:lvlJc w:val="left"/>
      <w:pPr>
        <w:ind w:left="4320" w:hanging="360"/>
      </w:pPr>
      <w:rPr>
        <w:rFonts w:ascii="Wingdings" w:hAnsi="Wingdings" w:hint="default"/>
      </w:rPr>
    </w:lvl>
    <w:lvl w:ilvl="6" w:tplc="E430B10E" w:tentative="1">
      <w:start w:val="1"/>
      <w:numFmt w:val="bullet"/>
      <w:lvlText w:val=""/>
      <w:lvlJc w:val="left"/>
      <w:pPr>
        <w:ind w:left="5040" w:hanging="360"/>
      </w:pPr>
      <w:rPr>
        <w:rFonts w:ascii="Symbol" w:hAnsi="Symbol" w:hint="default"/>
      </w:rPr>
    </w:lvl>
    <w:lvl w:ilvl="7" w:tplc="18DE76C8" w:tentative="1">
      <w:start w:val="1"/>
      <w:numFmt w:val="bullet"/>
      <w:lvlText w:val="o"/>
      <w:lvlJc w:val="left"/>
      <w:pPr>
        <w:ind w:left="5760" w:hanging="360"/>
      </w:pPr>
      <w:rPr>
        <w:rFonts w:ascii="Courier New" w:hAnsi="Courier New" w:cs="Courier New" w:hint="default"/>
      </w:rPr>
    </w:lvl>
    <w:lvl w:ilvl="8" w:tplc="5394BED6"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80"/>
    <w:rsid w:val="000018A6"/>
    <w:rsid w:val="00044F2B"/>
    <w:rsid w:val="00067A88"/>
    <w:rsid w:val="000A0AE3"/>
    <w:rsid w:val="000C1AFF"/>
    <w:rsid w:val="000D1A66"/>
    <w:rsid w:val="000D66B6"/>
    <w:rsid w:val="000E02AF"/>
    <w:rsid w:val="00110C2E"/>
    <w:rsid w:val="00122BCF"/>
    <w:rsid w:val="00130CBD"/>
    <w:rsid w:val="00132D87"/>
    <w:rsid w:val="001667FA"/>
    <w:rsid w:val="00172EF4"/>
    <w:rsid w:val="0018711F"/>
    <w:rsid w:val="001A15B9"/>
    <w:rsid w:val="001F4985"/>
    <w:rsid w:val="00203E80"/>
    <w:rsid w:val="00217E82"/>
    <w:rsid w:val="00232637"/>
    <w:rsid w:val="0026396D"/>
    <w:rsid w:val="00265557"/>
    <w:rsid w:val="0027096B"/>
    <w:rsid w:val="0027623E"/>
    <w:rsid w:val="002A33D2"/>
    <w:rsid w:val="002D14A1"/>
    <w:rsid w:val="003661E9"/>
    <w:rsid w:val="0036670C"/>
    <w:rsid w:val="003C2E3B"/>
    <w:rsid w:val="003F1B86"/>
    <w:rsid w:val="00405613"/>
    <w:rsid w:val="00410130"/>
    <w:rsid w:val="00434FC1"/>
    <w:rsid w:val="00443A42"/>
    <w:rsid w:val="004452BF"/>
    <w:rsid w:val="00447048"/>
    <w:rsid w:val="00462F69"/>
    <w:rsid w:val="00465D37"/>
    <w:rsid w:val="00587EF6"/>
    <w:rsid w:val="006E5A67"/>
    <w:rsid w:val="006E6936"/>
    <w:rsid w:val="006F735C"/>
    <w:rsid w:val="00766ECB"/>
    <w:rsid w:val="007B2448"/>
    <w:rsid w:val="007C6965"/>
    <w:rsid w:val="007D4EC1"/>
    <w:rsid w:val="008630A1"/>
    <w:rsid w:val="00863EF5"/>
    <w:rsid w:val="00887488"/>
    <w:rsid w:val="008B6A20"/>
    <w:rsid w:val="008D08A1"/>
    <w:rsid w:val="008D4445"/>
    <w:rsid w:val="00952044"/>
    <w:rsid w:val="0096300C"/>
    <w:rsid w:val="009F74F9"/>
    <w:rsid w:val="00A33DE4"/>
    <w:rsid w:val="00AA0910"/>
    <w:rsid w:val="00AB3C5E"/>
    <w:rsid w:val="00AB5637"/>
    <w:rsid w:val="00AD3A69"/>
    <w:rsid w:val="00AF576E"/>
    <w:rsid w:val="00B068D1"/>
    <w:rsid w:val="00B47124"/>
    <w:rsid w:val="00B56BD7"/>
    <w:rsid w:val="00B74F90"/>
    <w:rsid w:val="00B941B5"/>
    <w:rsid w:val="00B95FD3"/>
    <w:rsid w:val="00BA33AD"/>
    <w:rsid w:val="00BD7582"/>
    <w:rsid w:val="00C0624F"/>
    <w:rsid w:val="00CA41E9"/>
    <w:rsid w:val="00CA537C"/>
    <w:rsid w:val="00CC61F8"/>
    <w:rsid w:val="00CE2733"/>
    <w:rsid w:val="00CE778C"/>
    <w:rsid w:val="00D005C0"/>
    <w:rsid w:val="00D15D3E"/>
    <w:rsid w:val="00D30133"/>
    <w:rsid w:val="00D81CA5"/>
    <w:rsid w:val="00DA2545"/>
    <w:rsid w:val="00E36849"/>
    <w:rsid w:val="00E56B13"/>
    <w:rsid w:val="00E94A10"/>
    <w:rsid w:val="00EB19D6"/>
    <w:rsid w:val="00ED1F9B"/>
    <w:rsid w:val="00EE0F5A"/>
    <w:rsid w:val="00EF342A"/>
    <w:rsid w:val="00F32E0F"/>
    <w:rsid w:val="00F97F09"/>
    <w:rsid w:val="00FC2C40"/>
    <w:rsid w:val="00FE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E07334-4BB4-4149-BA67-8C60B635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F2B"/>
  </w:style>
  <w:style w:type="paragraph" w:styleId="Footer">
    <w:name w:val="footer"/>
    <w:basedOn w:val="Normal"/>
    <w:link w:val="FooterChar"/>
    <w:uiPriority w:val="99"/>
    <w:unhideWhenUsed/>
    <w:rsid w:val="0004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F2B"/>
  </w:style>
  <w:style w:type="paragraph" w:customStyle="1" w:styleId="BasicParagraph">
    <w:name w:val="[Basic Paragraph]"/>
    <w:basedOn w:val="Normal"/>
    <w:link w:val="BasicParagraphChar"/>
    <w:uiPriority w:val="99"/>
    <w:rsid w:val="00044F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rticleHeader">
    <w:name w:val="Article Header"/>
    <w:basedOn w:val="BasicParagraph"/>
    <w:link w:val="ArticleHeaderChar"/>
    <w:rsid w:val="00E36849"/>
    <w:pPr>
      <w:spacing w:after="80" w:line="192" w:lineRule="auto"/>
    </w:pPr>
    <w:rPr>
      <w:rFonts w:ascii="Arial Black" w:hAnsi="Arial Black" w:cs="Arial Black"/>
    </w:rPr>
  </w:style>
  <w:style w:type="paragraph" w:customStyle="1" w:styleId="BulletedList">
    <w:name w:val="Bulleted List"/>
    <w:basedOn w:val="Normal"/>
    <w:link w:val="BulletedListChar"/>
    <w:rsid w:val="0018711F"/>
    <w:pPr>
      <w:numPr>
        <w:numId w:val="1"/>
      </w:numPr>
      <w:spacing w:after="0" w:line="240" w:lineRule="auto"/>
      <w:ind w:left="270" w:hanging="180"/>
    </w:pPr>
    <w:rPr>
      <w:rFonts w:ascii="Arial" w:hAnsi="Arial" w:cs="Arial"/>
      <w:sz w:val="20"/>
      <w:szCs w:val="20"/>
    </w:rPr>
  </w:style>
  <w:style w:type="character" w:customStyle="1" w:styleId="BasicParagraphChar">
    <w:name w:val="[Basic Paragraph] Char"/>
    <w:basedOn w:val="DefaultParagraphFont"/>
    <w:link w:val="BasicParagraph"/>
    <w:uiPriority w:val="99"/>
    <w:rsid w:val="0018711F"/>
    <w:rPr>
      <w:rFonts w:ascii="MinionPro-Regular" w:hAnsi="MinionPro-Regular" w:cs="MinionPro-Regular"/>
      <w:color w:val="000000"/>
      <w:sz w:val="24"/>
      <w:szCs w:val="24"/>
    </w:rPr>
  </w:style>
  <w:style w:type="character" w:customStyle="1" w:styleId="ArticleHeaderChar">
    <w:name w:val="Article Header Char"/>
    <w:basedOn w:val="BasicParagraphChar"/>
    <w:link w:val="ArticleHeader"/>
    <w:rsid w:val="00E36849"/>
    <w:rPr>
      <w:rFonts w:ascii="Arial Black" w:hAnsi="Arial Black" w:cs="Arial Black"/>
      <w:color w:val="000000"/>
      <w:sz w:val="24"/>
      <w:szCs w:val="24"/>
    </w:rPr>
  </w:style>
  <w:style w:type="paragraph" w:customStyle="1" w:styleId="NumberedList">
    <w:name w:val="Numbered List"/>
    <w:basedOn w:val="BulletedList"/>
    <w:link w:val="NumberedListChar"/>
    <w:rsid w:val="0018711F"/>
    <w:pPr>
      <w:numPr>
        <w:numId w:val="2"/>
      </w:numPr>
    </w:pPr>
  </w:style>
  <w:style w:type="character" w:customStyle="1" w:styleId="BulletedListChar">
    <w:name w:val="Bulleted List Char"/>
    <w:basedOn w:val="DefaultParagraphFont"/>
    <w:link w:val="BulletedList"/>
    <w:rsid w:val="0018711F"/>
    <w:rPr>
      <w:rFonts w:ascii="Arial" w:hAnsi="Arial" w:cs="Arial"/>
      <w:sz w:val="20"/>
      <w:szCs w:val="20"/>
    </w:rPr>
  </w:style>
  <w:style w:type="character" w:customStyle="1" w:styleId="NumberedListChar">
    <w:name w:val="Numbered List Char"/>
    <w:basedOn w:val="BulletedListChar"/>
    <w:link w:val="NumberedList"/>
    <w:rsid w:val="0018711F"/>
    <w:rPr>
      <w:rFonts w:ascii="Arial" w:hAnsi="Arial" w:cs="Arial"/>
      <w:sz w:val="20"/>
      <w:szCs w:val="20"/>
    </w:rPr>
  </w:style>
  <w:style w:type="paragraph" w:customStyle="1" w:styleId="HeaderInformation">
    <w:name w:val="Header Information"/>
    <w:basedOn w:val="Normal"/>
    <w:link w:val="HeaderInformationChar"/>
    <w:rsid w:val="00AD3A69"/>
    <w:pPr>
      <w:jc w:val="center"/>
    </w:pPr>
    <w:rPr>
      <w:rFonts w:ascii="Arial" w:hAnsi="Arial" w:cs="Arial"/>
      <w:b/>
      <w:color w:val="FFFFFF" w:themeColor="background1"/>
      <w:sz w:val="28"/>
      <w:szCs w:val="28"/>
    </w:rPr>
  </w:style>
  <w:style w:type="paragraph" w:customStyle="1" w:styleId="BodyText1">
    <w:name w:val="Body Text1"/>
    <w:basedOn w:val="Normal"/>
    <w:link w:val="bodytextChar"/>
    <w:rsid w:val="00110C2E"/>
    <w:pPr>
      <w:spacing w:after="120" w:line="240" w:lineRule="auto"/>
    </w:pPr>
    <w:rPr>
      <w:rFonts w:ascii="Arial" w:hAnsi="Arial" w:cs="Arial"/>
      <w:sz w:val="20"/>
      <w:szCs w:val="20"/>
    </w:rPr>
  </w:style>
  <w:style w:type="character" w:customStyle="1" w:styleId="HeaderInformationChar">
    <w:name w:val="Header Information Char"/>
    <w:basedOn w:val="DefaultParagraphFont"/>
    <w:link w:val="HeaderInformation"/>
    <w:rsid w:val="00AD3A69"/>
    <w:rPr>
      <w:rFonts w:ascii="Arial" w:hAnsi="Arial" w:cs="Arial"/>
      <w:b/>
      <w:color w:val="FFFFFF" w:themeColor="background1"/>
      <w:sz w:val="28"/>
      <w:szCs w:val="28"/>
    </w:rPr>
  </w:style>
  <w:style w:type="character" w:customStyle="1" w:styleId="bodytextChar">
    <w:name w:val="body text Char"/>
    <w:basedOn w:val="DefaultParagraphFont"/>
    <w:link w:val="BodyText1"/>
    <w:rsid w:val="00110C2E"/>
    <w:rPr>
      <w:rFonts w:ascii="Arial" w:hAnsi="Arial" w:cs="Arial"/>
      <w:sz w:val="20"/>
      <w:szCs w:val="20"/>
    </w:rPr>
  </w:style>
  <w:style w:type="character" w:styleId="Hyperlink">
    <w:name w:val="Hyperlink"/>
    <w:basedOn w:val="DefaultParagraphFont"/>
    <w:uiPriority w:val="99"/>
    <w:unhideWhenUsed/>
    <w:rsid w:val="00110C2E"/>
    <w:rPr>
      <w:color w:val="0563C1" w:themeColor="hyperlink"/>
      <w:u w:val="single"/>
    </w:rPr>
  </w:style>
  <w:style w:type="paragraph" w:customStyle="1" w:styleId="HeaderInfo">
    <w:name w:val="Header Info"/>
    <w:basedOn w:val="HeaderInformation"/>
    <w:link w:val="HeaderInfoChar"/>
    <w:qFormat/>
    <w:rsid w:val="008D08A1"/>
    <w:rPr>
      <w:b w:val="0"/>
    </w:rPr>
  </w:style>
  <w:style w:type="paragraph" w:customStyle="1" w:styleId="Article1">
    <w:name w:val="Article 1"/>
    <w:link w:val="Article1Char"/>
    <w:autoRedefine/>
    <w:qFormat/>
    <w:rsid w:val="000D1A66"/>
    <w:pPr>
      <w:spacing w:after="60" w:line="204" w:lineRule="auto"/>
    </w:pPr>
    <w:rPr>
      <w:rFonts w:cstheme="minorHAnsi"/>
      <w:b/>
      <w:noProof/>
      <w:color w:val="000000"/>
      <w:sz w:val="26"/>
      <w:szCs w:val="26"/>
    </w:rPr>
  </w:style>
  <w:style w:type="character" w:customStyle="1" w:styleId="HeaderInfoChar">
    <w:name w:val="Header Info Char"/>
    <w:basedOn w:val="HeaderInformationChar"/>
    <w:link w:val="HeaderInfo"/>
    <w:rsid w:val="008D08A1"/>
    <w:rPr>
      <w:rFonts w:ascii="Arial" w:hAnsi="Arial" w:cs="Arial"/>
      <w:b w:val="0"/>
      <w:color w:val="FFFFFF" w:themeColor="background1"/>
      <w:sz w:val="28"/>
      <w:szCs w:val="28"/>
    </w:rPr>
  </w:style>
  <w:style w:type="paragraph" w:customStyle="1" w:styleId="Article2">
    <w:name w:val="Article 2"/>
    <w:basedOn w:val="ArticleHeader"/>
    <w:link w:val="Article2Char"/>
    <w:rsid w:val="00CE778C"/>
    <w:pPr>
      <w:pBdr>
        <w:top w:val="single" w:sz="4" w:space="6" w:color="auto"/>
      </w:pBdr>
      <w:spacing w:before="320"/>
    </w:pPr>
    <w:rPr>
      <w:rFonts w:asciiTheme="minorHAnsi" w:hAnsiTheme="minorHAnsi" w:cstheme="minorHAnsi"/>
      <w:b/>
      <w:sz w:val="26"/>
      <w:szCs w:val="26"/>
    </w:rPr>
  </w:style>
  <w:style w:type="character" w:customStyle="1" w:styleId="Article1Char">
    <w:name w:val="Article 1 Char"/>
    <w:basedOn w:val="ArticleHeaderChar"/>
    <w:link w:val="Article1"/>
    <w:rsid w:val="000D1A66"/>
    <w:rPr>
      <w:rFonts w:ascii="Arial Black" w:hAnsi="Arial Black" w:cstheme="minorHAnsi"/>
      <w:b/>
      <w:noProof/>
      <w:color w:val="000000"/>
      <w:sz w:val="26"/>
      <w:szCs w:val="26"/>
    </w:rPr>
  </w:style>
  <w:style w:type="paragraph" w:customStyle="1" w:styleId="BasicCopy">
    <w:name w:val="Basic Copy"/>
    <w:basedOn w:val="Normal"/>
    <w:link w:val="BasicCopyChar"/>
    <w:qFormat/>
    <w:rsid w:val="002A33D2"/>
    <w:pPr>
      <w:spacing w:after="120" w:line="240" w:lineRule="auto"/>
    </w:pPr>
    <w:rPr>
      <w:rFonts w:asciiTheme="majorHAnsi" w:hAnsiTheme="majorHAnsi" w:cstheme="majorHAnsi"/>
      <w:sz w:val="21"/>
      <w:szCs w:val="20"/>
    </w:rPr>
  </w:style>
  <w:style w:type="character" w:customStyle="1" w:styleId="Article2Char">
    <w:name w:val="Article 2 Char"/>
    <w:basedOn w:val="ArticleHeaderChar"/>
    <w:link w:val="Article2"/>
    <w:rsid w:val="00CE778C"/>
    <w:rPr>
      <w:rFonts w:ascii="Arial Black" w:hAnsi="Arial Black" w:cstheme="minorHAnsi"/>
      <w:b/>
      <w:color w:val="000000"/>
      <w:sz w:val="26"/>
      <w:szCs w:val="26"/>
    </w:rPr>
  </w:style>
  <w:style w:type="character" w:customStyle="1" w:styleId="BasicCopyChar">
    <w:name w:val="Basic Copy Char"/>
    <w:basedOn w:val="DefaultParagraphFont"/>
    <w:link w:val="BasicCopy"/>
    <w:rsid w:val="002A33D2"/>
    <w:rPr>
      <w:rFonts w:asciiTheme="majorHAnsi" w:hAnsiTheme="majorHAnsi" w:cstheme="majorHAnsi"/>
      <w:sz w:val="21"/>
      <w:szCs w:val="20"/>
    </w:rPr>
  </w:style>
  <w:style w:type="paragraph" w:customStyle="1" w:styleId="BulletList">
    <w:name w:val="Bullet List"/>
    <w:basedOn w:val="BasicCopy"/>
    <w:link w:val="BulletListChar"/>
    <w:qFormat/>
    <w:rsid w:val="00952044"/>
    <w:pPr>
      <w:numPr>
        <w:numId w:val="3"/>
      </w:numPr>
      <w:ind w:left="360" w:hanging="180"/>
    </w:pPr>
  </w:style>
  <w:style w:type="paragraph" w:customStyle="1" w:styleId="SubBullet">
    <w:name w:val="Sub Bullet"/>
    <w:basedOn w:val="BulletList"/>
    <w:link w:val="SubBulletChar"/>
    <w:qFormat/>
    <w:rsid w:val="00952044"/>
    <w:pPr>
      <w:numPr>
        <w:ilvl w:val="1"/>
      </w:numPr>
      <w:ind w:left="630" w:hanging="180"/>
    </w:pPr>
  </w:style>
  <w:style w:type="character" w:customStyle="1" w:styleId="BulletListChar">
    <w:name w:val="Bullet List Char"/>
    <w:basedOn w:val="BasicCopyChar"/>
    <w:link w:val="BulletList"/>
    <w:rsid w:val="00952044"/>
    <w:rPr>
      <w:rFonts w:asciiTheme="majorHAnsi" w:hAnsiTheme="majorHAnsi" w:cstheme="majorHAnsi"/>
      <w:sz w:val="21"/>
      <w:szCs w:val="20"/>
    </w:rPr>
  </w:style>
  <w:style w:type="character" w:customStyle="1" w:styleId="SubBulletChar">
    <w:name w:val="Sub Bullet Char"/>
    <w:basedOn w:val="BulletListChar"/>
    <w:link w:val="SubBullet"/>
    <w:rsid w:val="00952044"/>
    <w:rPr>
      <w:rFonts w:asciiTheme="majorHAnsi" w:hAnsiTheme="majorHAnsi" w:cstheme="majorHAnsi"/>
      <w:sz w:val="21"/>
      <w:szCs w:val="20"/>
    </w:rPr>
  </w:style>
  <w:style w:type="paragraph" w:styleId="BalloonText">
    <w:name w:val="Balloon Text"/>
    <w:basedOn w:val="Normal"/>
    <w:link w:val="BalloonTextChar"/>
    <w:uiPriority w:val="99"/>
    <w:semiHidden/>
    <w:unhideWhenUsed/>
    <w:rsid w:val="0016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Brief\2020\HR_Brief-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1148D-4922-4419-A849-7ECA9AB0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HR_Brief-EB-2020-US</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Jackson</dc:creator>
  <cp:lastModifiedBy>Clark, Charlotte</cp:lastModifiedBy>
  <cp:revision>2</cp:revision>
  <dcterms:created xsi:type="dcterms:W3CDTF">2020-01-07T14:31:00Z</dcterms:created>
  <dcterms:modified xsi:type="dcterms:W3CDTF">2020-01-07T14:31:00Z</dcterms:modified>
</cp:coreProperties>
</file>