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F92" w:rsidRPr="00EC6F92" w:rsidRDefault="00EC6F92" w:rsidP="00EC6F92">
      <w:pPr>
        <w:shd w:val="clear" w:color="auto" w:fill="FFFFFF"/>
        <w:spacing w:before="150" w:after="0" w:line="240" w:lineRule="auto"/>
        <w:outlineLvl w:val="0"/>
        <w:rPr>
          <w:rFonts w:ascii="Times New Roman" w:eastAsia="Times New Roman" w:hAnsi="Times New Roman" w:cs="Times New Roman"/>
          <w:b/>
          <w:bCs/>
          <w:kern w:val="36"/>
          <w:sz w:val="40"/>
          <w:szCs w:val="40"/>
        </w:rPr>
      </w:pPr>
      <w:r w:rsidRPr="00EC6F92">
        <w:rPr>
          <w:rFonts w:ascii="Times New Roman" w:eastAsia="Times New Roman" w:hAnsi="Times New Roman" w:cs="Times New Roman"/>
          <w:b/>
          <w:bCs/>
          <w:kern w:val="36"/>
          <w:sz w:val="40"/>
          <w:szCs w:val="40"/>
        </w:rPr>
        <w:t>Fact Sheet #28F: Qualifying Reasons for Leave under the Family and Medical Leave Act</w:t>
      </w:r>
    </w:p>
    <w:p w:rsidR="00EC6F92" w:rsidRPr="00EC6F92" w:rsidRDefault="00EC6F92" w:rsidP="00EC6F92">
      <w:pPr>
        <w:spacing w:after="300" w:line="240" w:lineRule="auto"/>
        <w:rPr>
          <w:rFonts w:ascii="Times New Roman" w:eastAsia="Times New Roman" w:hAnsi="Times New Roman" w:cs="Times New Roman"/>
          <w:sz w:val="25"/>
          <w:szCs w:val="25"/>
        </w:rPr>
      </w:pPr>
      <w:r w:rsidRPr="00EC6F92">
        <w:rPr>
          <w:rFonts w:ascii="Times New Roman" w:eastAsia="Times New Roman" w:hAnsi="Times New Roman" w:cs="Times New Roman"/>
          <w:b/>
          <w:bCs/>
          <w:sz w:val="25"/>
          <w:szCs w:val="25"/>
        </w:rPr>
        <w:t>(July 2015)</w:t>
      </w:r>
    </w:p>
    <w:p w:rsidR="00EC6F92" w:rsidRPr="00EC6F92" w:rsidRDefault="00EC6F92" w:rsidP="00EC6F92">
      <w:pPr>
        <w:spacing w:after="300" w:line="240" w:lineRule="auto"/>
        <w:rPr>
          <w:rFonts w:ascii="Times New Roman" w:eastAsia="Times New Roman" w:hAnsi="Times New Roman" w:cs="Times New Roman"/>
          <w:sz w:val="25"/>
          <w:szCs w:val="25"/>
        </w:rPr>
      </w:pPr>
      <w:r w:rsidRPr="00EC6F92">
        <w:rPr>
          <w:rFonts w:ascii="Times New Roman" w:eastAsia="Times New Roman" w:hAnsi="Times New Roman" w:cs="Times New Roman"/>
          <w:sz w:val="25"/>
          <w:szCs w:val="25"/>
        </w:rPr>
        <w:t>The Family and Medical Leave Act (FMLA) entitles eligible employees of covered employers to take unpaid, job-protected leave for specified family and medical reasons, with continuation of group health insurance coverage under the same terms and conditions as if the employee had not taken leave. </w:t>
      </w:r>
      <w:r w:rsidRPr="00EC6F92">
        <w:rPr>
          <w:rFonts w:ascii="Times New Roman" w:eastAsia="Times New Roman" w:hAnsi="Times New Roman" w:cs="Times New Roman"/>
          <w:i/>
          <w:iCs/>
          <w:sz w:val="25"/>
          <w:szCs w:val="25"/>
        </w:rPr>
        <w:t>See also</w:t>
      </w:r>
      <w:r w:rsidRPr="00EC6F92">
        <w:rPr>
          <w:rFonts w:ascii="Times New Roman" w:eastAsia="Times New Roman" w:hAnsi="Times New Roman" w:cs="Times New Roman"/>
          <w:sz w:val="25"/>
          <w:szCs w:val="25"/>
        </w:rPr>
        <w:t> </w:t>
      </w:r>
      <w:hyperlink r:id="rId5" w:history="1">
        <w:r w:rsidRPr="00EC6F92">
          <w:rPr>
            <w:rFonts w:ascii="Times New Roman" w:eastAsia="Times New Roman" w:hAnsi="Times New Roman" w:cs="Times New Roman"/>
            <w:color w:val="981B1E"/>
            <w:sz w:val="25"/>
            <w:szCs w:val="25"/>
            <w:u w:val="single"/>
          </w:rPr>
          <w:t>Fact Sheet 28A: Employee Protections under the FMLA</w:t>
        </w:r>
      </w:hyperlink>
      <w:r w:rsidRPr="00EC6F92">
        <w:rPr>
          <w:rFonts w:ascii="Times New Roman" w:eastAsia="Times New Roman" w:hAnsi="Times New Roman" w:cs="Times New Roman"/>
          <w:sz w:val="25"/>
          <w:szCs w:val="25"/>
        </w:rPr>
        <w:t>, and </w:t>
      </w:r>
      <w:hyperlink r:id="rId6" w:history="1">
        <w:r w:rsidRPr="00EC6F92">
          <w:rPr>
            <w:rFonts w:ascii="Times New Roman" w:eastAsia="Times New Roman" w:hAnsi="Times New Roman" w:cs="Times New Roman"/>
            <w:color w:val="981B1E"/>
            <w:sz w:val="25"/>
            <w:szCs w:val="25"/>
            <w:u w:val="single"/>
          </w:rPr>
          <w:t>Fact Sheet 28M: The Military Family Leave Provisions under the FMLA</w:t>
        </w:r>
      </w:hyperlink>
      <w:r w:rsidRPr="00EC6F92">
        <w:rPr>
          <w:rFonts w:ascii="Times New Roman" w:eastAsia="Times New Roman" w:hAnsi="Times New Roman" w:cs="Times New Roman"/>
          <w:sz w:val="25"/>
          <w:szCs w:val="25"/>
        </w:rPr>
        <w:t>.</w:t>
      </w:r>
    </w:p>
    <w:p w:rsidR="00EC6F92" w:rsidRPr="00EC6F92" w:rsidRDefault="00EC6F92" w:rsidP="00EC6F92">
      <w:pPr>
        <w:spacing w:after="300" w:line="240" w:lineRule="auto"/>
        <w:rPr>
          <w:rFonts w:ascii="Times New Roman" w:eastAsia="Times New Roman" w:hAnsi="Times New Roman" w:cs="Times New Roman"/>
          <w:sz w:val="25"/>
          <w:szCs w:val="25"/>
        </w:rPr>
      </w:pPr>
      <w:r w:rsidRPr="00EC6F92">
        <w:rPr>
          <w:rFonts w:ascii="Times New Roman" w:eastAsia="Times New Roman" w:hAnsi="Times New Roman" w:cs="Times New Roman"/>
          <w:sz w:val="25"/>
          <w:szCs w:val="25"/>
        </w:rPr>
        <w:t>Eligible employees are entitled to take up to 12 workweeks of FMLA leave in a 12-month period for any of the reasons listed below. </w:t>
      </w:r>
      <w:r w:rsidRPr="00EC6F92">
        <w:rPr>
          <w:rFonts w:ascii="Times New Roman" w:eastAsia="Times New Roman" w:hAnsi="Times New Roman" w:cs="Times New Roman"/>
          <w:i/>
          <w:iCs/>
          <w:sz w:val="25"/>
          <w:szCs w:val="25"/>
        </w:rPr>
        <w:t>See</w:t>
      </w:r>
      <w:r w:rsidRPr="00EC6F92">
        <w:rPr>
          <w:rFonts w:ascii="Times New Roman" w:eastAsia="Times New Roman" w:hAnsi="Times New Roman" w:cs="Times New Roman"/>
          <w:sz w:val="25"/>
          <w:szCs w:val="25"/>
        </w:rPr>
        <w:t> </w:t>
      </w:r>
      <w:hyperlink r:id="rId7" w:history="1">
        <w:r w:rsidRPr="00EC6F92">
          <w:rPr>
            <w:rFonts w:ascii="Times New Roman" w:eastAsia="Times New Roman" w:hAnsi="Times New Roman" w:cs="Times New Roman"/>
            <w:color w:val="981B1E"/>
            <w:sz w:val="25"/>
            <w:szCs w:val="25"/>
            <w:u w:val="single"/>
          </w:rPr>
          <w:t>Fact Sheet 28: The Family and Medical Leave Act - Overview</w:t>
        </w:r>
      </w:hyperlink>
      <w:r w:rsidRPr="00EC6F92">
        <w:rPr>
          <w:rFonts w:ascii="Times New Roman" w:eastAsia="Times New Roman" w:hAnsi="Times New Roman" w:cs="Times New Roman"/>
          <w:sz w:val="25"/>
          <w:szCs w:val="25"/>
        </w:rPr>
        <w:t>.</w:t>
      </w:r>
    </w:p>
    <w:p w:rsidR="00EC6F92" w:rsidRPr="00EC6F92" w:rsidRDefault="00EC6F92" w:rsidP="00EC6F92">
      <w:pPr>
        <w:numPr>
          <w:ilvl w:val="0"/>
          <w:numId w:val="1"/>
        </w:numPr>
        <w:spacing w:after="60" w:line="240" w:lineRule="auto"/>
        <w:ind w:left="63"/>
        <w:textAlignment w:val="top"/>
        <w:rPr>
          <w:rFonts w:ascii="Times New Roman" w:eastAsia="Times New Roman" w:hAnsi="Times New Roman" w:cs="Times New Roman"/>
          <w:sz w:val="25"/>
          <w:szCs w:val="25"/>
        </w:rPr>
      </w:pPr>
      <w:r w:rsidRPr="00EC6F92">
        <w:rPr>
          <w:rFonts w:ascii="Times New Roman" w:eastAsia="Times New Roman" w:hAnsi="Times New Roman" w:cs="Times New Roman"/>
          <w:b/>
          <w:bCs/>
          <w:sz w:val="25"/>
          <w:szCs w:val="25"/>
        </w:rPr>
        <w:t>The birth of a child and to bond with the newborn child within one year of birth.</w:t>
      </w:r>
      <w:r w:rsidRPr="00EC6F92">
        <w:rPr>
          <w:rFonts w:ascii="Times New Roman" w:eastAsia="Times New Roman" w:hAnsi="Times New Roman" w:cs="Times New Roman"/>
          <w:sz w:val="25"/>
          <w:szCs w:val="25"/>
        </w:rPr>
        <w:br/>
        <w:t>An employee's entitlement to FMLA leave for birth and bonding expires 12 months after the date of birth. Both mothers and fathers have the same right to take FMLA leave for the birth of a child. Birth and bonding leave must be taken as a continuous block of leave unless the employer agrees to allow intermittent leave (</w:t>
      </w:r>
      <w:r w:rsidRPr="00EC6F92">
        <w:rPr>
          <w:rFonts w:ascii="Times New Roman" w:eastAsia="Times New Roman" w:hAnsi="Times New Roman" w:cs="Times New Roman"/>
          <w:i/>
          <w:iCs/>
          <w:sz w:val="25"/>
          <w:szCs w:val="25"/>
        </w:rPr>
        <w:t>e.g</w:t>
      </w:r>
      <w:r w:rsidRPr="00EC6F92">
        <w:rPr>
          <w:rFonts w:ascii="Times New Roman" w:eastAsia="Times New Roman" w:hAnsi="Times New Roman" w:cs="Times New Roman"/>
          <w:sz w:val="25"/>
          <w:szCs w:val="25"/>
        </w:rPr>
        <w:t>., allowing a parent to return to work on a part-time schedule for 10 weeks).</w:t>
      </w:r>
    </w:p>
    <w:p w:rsidR="00EC6F92" w:rsidRPr="00EC6F92" w:rsidRDefault="00EC6F92" w:rsidP="00EC6F92">
      <w:pPr>
        <w:numPr>
          <w:ilvl w:val="0"/>
          <w:numId w:val="1"/>
        </w:numPr>
        <w:spacing w:after="60" w:line="240" w:lineRule="auto"/>
        <w:ind w:left="63"/>
        <w:textAlignment w:val="top"/>
        <w:rPr>
          <w:rFonts w:ascii="Times New Roman" w:eastAsia="Times New Roman" w:hAnsi="Times New Roman" w:cs="Times New Roman"/>
          <w:sz w:val="25"/>
          <w:szCs w:val="25"/>
        </w:rPr>
      </w:pPr>
      <w:r w:rsidRPr="00EC6F92">
        <w:rPr>
          <w:rFonts w:ascii="Times New Roman" w:eastAsia="Times New Roman" w:hAnsi="Times New Roman" w:cs="Times New Roman"/>
          <w:b/>
          <w:bCs/>
          <w:sz w:val="25"/>
          <w:szCs w:val="25"/>
        </w:rPr>
        <w:t>The placement with the employee of a child for adoption or foster care and to bond with the newly placed child within one year of placement.</w:t>
      </w:r>
      <w:r w:rsidRPr="00EC6F92">
        <w:rPr>
          <w:rFonts w:ascii="Times New Roman" w:eastAsia="Times New Roman" w:hAnsi="Times New Roman" w:cs="Times New Roman"/>
          <w:sz w:val="25"/>
          <w:szCs w:val="25"/>
        </w:rPr>
        <w:br/>
        <w:t>FMLA leave may be taken before the actual placement or adoption of a child if an absence from work is required for the placement for adoption or foster care to proceed. For example, the employee may be entitled to FMLA leave to attend counseling sessions, appear in court, consult with his or her attorney or the birth parent’s representative, submit to a physical examination, or travel to another country to complete an adoption before the actual date of placement. FMLA leave to bond with a child after placement must be taken as a continuous block of leave unless the employer agrees to allow intermittent leave. An employee’s entitlement to FMLA leave for the placement of a child for adoption or foster care expires 12 months after the placement.</w:t>
      </w:r>
    </w:p>
    <w:p w:rsidR="00EC6F92" w:rsidRPr="00EC6F92" w:rsidRDefault="00EC6F92" w:rsidP="00EC6F92">
      <w:pPr>
        <w:numPr>
          <w:ilvl w:val="0"/>
          <w:numId w:val="1"/>
        </w:numPr>
        <w:spacing w:after="60" w:line="240" w:lineRule="auto"/>
        <w:ind w:left="63"/>
        <w:textAlignment w:val="top"/>
        <w:rPr>
          <w:rFonts w:ascii="Times New Roman" w:eastAsia="Times New Roman" w:hAnsi="Times New Roman" w:cs="Times New Roman"/>
          <w:sz w:val="25"/>
          <w:szCs w:val="25"/>
        </w:rPr>
      </w:pPr>
      <w:r w:rsidRPr="00EC6F92">
        <w:rPr>
          <w:rFonts w:ascii="Times New Roman" w:eastAsia="Times New Roman" w:hAnsi="Times New Roman" w:cs="Times New Roman"/>
          <w:b/>
          <w:bCs/>
          <w:sz w:val="25"/>
          <w:szCs w:val="25"/>
        </w:rPr>
        <w:t>A serious health condition that makes the employee unable to perform the functions of his or her job.</w:t>
      </w:r>
      <w:r w:rsidRPr="00EC6F92">
        <w:rPr>
          <w:rFonts w:ascii="Times New Roman" w:eastAsia="Times New Roman" w:hAnsi="Times New Roman" w:cs="Times New Roman"/>
          <w:sz w:val="25"/>
          <w:szCs w:val="25"/>
        </w:rPr>
        <w:br/>
        <w:t>An employee is “unable to perform the functions of the position” where the health care provider finds that the employee</w:t>
      </w:r>
    </w:p>
    <w:p w:rsidR="00EC6F92" w:rsidRPr="00EC6F92" w:rsidRDefault="00EC6F92" w:rsidP="00EC6F92">
      <w:pPr>
        <w:numPr>
          <w:ilvl w:val="1"/>
          <w:numId w:val="1"/>
        </w:numPr>
        <w:spacing w:after="60" w:line="240" w:lineRule="auto"/>
        <w:ind w:left="351"/>
        <w:textAlignment w:val="top"/>
        <w:rPr>
          <w:rFonts w:ascii="Times New Roman" w:eastAsia="Times New Roman" w:hAnsi="Times New Roman" w:cs="Times New Roman"/>
          <w:sz w:val="27"/>
          <w:szCs w:val="27"/>
        </w:rPr>
      </w:pPr>
      <w:r w:rsidRPr="00EC6F92">
        <w:rPr>
          <w:rFonts w:ascii="Times New Roman" w:eastAsia="Times New Roman" w:hAnsi="Times New Roman" w:cs="Times New Roman"/>
          <w:sz w:val="27"/>
          <w:szCs w:val="27"/>
        </w:rPr>
        <w:t>is unable to work at all, or</w:t>
      </w:r>
    </w:p>
    <w:p w:rsidR="00EC6F92" w:rsidRPr="00EC6F92" w:rsidRDefault="00EC6F92" w:rsidP="00EC6F92">
      <w:pPr>
        <w:numPr>
          <w:ilvl w:val="1"/>
          <w:numId w:val="1"/>
        </w:numPr>
        <w:spacing w:after="0" w:line="240" w:lineRule="auto"/>
        <w:ind w:left="351"/>
        <w:textAlignment w:val="top"/>
        <w:rPr>
          <w:rFonts w:ascii="Times New Roman" w:eastAsia="Times New Roman" w:hAnsi="Times New Roman" w:cs="Times New Roman"/>
          <w:sz w:val="27"/>
          <w:szCs w:val="27"/>
        </w:rPr>
      </w:pPr>
      <w:r w:rsidRPr="00EC6F92">
        <w:rPr>
          <w:rFonts w:ascii="Times New Roman" w:eastAsia="Times New Roman" w:hAnsi="Times New Roman" w:cs="Times New Roman"/>
          <w:sz w:val="27"/>
          <w:szCs w:val="27"/>
        </w:rPr>
        <w:t>is unable to perform any one of the essential functions of the employee's position.</w:t>
      </w:r>
    </w:p>
    <w:p w:rsidR="00EC6F92" w:rsidRPr="00EC6F92" w:rsidRDefault="00EC6F92" w:rsidP="00EC6F92">
      <w:pPr>
        <w:spacing w:after="0" w:line="240" w:lineRule="auto"/>
        <w:ind w:left="63"/>
        <w:textAlignment w:val="top"/>
        <w:rPr>
          <w:rFonts w:ascii="Times New Roman" w:eastAsia="Times New Roman" w:hAnsi="Times New Roman" w:cs="Times New Roman"/>
          <w:sz w:val="25"/>
          <w:szCs w:val="25"/>
        </w:rPr>
      </w:pPr>
      <w:r w:rsidRPr="00EC6F92">
        <w:rPr>
          <w:rFonts w:ascii="Times New Roman" w:eastAsia="Times New Roman" w:hAnsi="Times New Roman" w:cs="Times New Roman"/>
          <w:sz w:val="25"/>
          <w:szCs w:val="25"/>
        </w:rPr>
        <w:t>An employee who must be absent from work to receive medical treatment for a serious health condition is considered to be unable to perform the essential functions of the position during the absence for treatment.</w:t>
      </w:r>
    </w:p>
    <w:p w:rsidR="00EC6F92" w:rsidRPr="00EC6F92" w:rsidRDefault="00EC6F92" w:rsidP="00EC6F92">
      <w:pPr>
        <w:numPr>
          <w:ilvl w:val="0"/>
          <w:numId w:val="1"/>
        </w:numPr>
        <w:spacing w:after="0" w:line="240" w:lineRule="auto"/>
        <w:ind w:left="63"/>
        <w:textAlignment w:val="top"/>
        <w:rPr>
          <w:rFonts w:ascii="Times New Roman" w:eastAsia="Times New Roman" w:hAnsi="Times New Roman" w:cs="Times New Roman"/>
          <w:sz w:val="25"/>
          <w:szCs w:val="25"/>
        </w:rPr>
      </w:pPr>
      <w:r w:rsidRPr="00EC6F92">
        <w:rPr>
          <w:rFonts w:ascii="Times New Roman" w:eastAsia="Times New Roman" w:hAnsi="Times New Roman" w:cs="Times New Roman"/>
          <w:b/>
          <w:bCs/>
          <w:sz w:val="25"/>
          <w:szCs w:val="25"/>
        </w:rPr>
        <w:t>To care for the employee’s spouse, son, daughter, or parent who has a serious health condition.</w:t>
      </w:r>
      <w:r w:rsidRPr="00EC6F92">
        <w:rPr>
          <w:rFonts w:ascii="Times New Roman" w:eastAsia="Times New Roman" w:hAnsi="Times New Roman" w:cs="Times New Roman"/>
          <w:sz w:val="25"/>
          <w:szCs w:val="25"/>
        </w:rPr>
        <w:br/>
        <w:t>An employee must be needed to provide care for his or her spouse, son, daughter, or parent because of the family member’s serious health condition in order for the employee to take FMLA leave. An employee may be needed to provide care to the family member, for example</w:t>
      </w:r>
    </w:p>
    <w:p w:rsidR="00EC6F92" w:rsidRPr="00EC6F92" w:rsidRDefault="00EC6F92" w:rsidP="00EC6F92">
      <w:pPr>
        <w:numPr>
          <w:ilvl w:val="1"/>
          <w:numId w:val="1"/>
        </w:numPr>
        <w:spacing w:after="60" w:line="240" w:lineRule="auto"/>
        <w:ind w:left="351"/>
        <w:textAlignment w:val="top"/>
        <w:rPr>
          <w:rFonts w:ascii="Times New Roman" w:eastAsia="Times New Roman" w:hAnsi="Times New Roman" w:cs="Times New Roman"/>
          <w:sz w:val="27"/>
          <w:szCs w:val="27"/>
        </w:rPr>
      </w:pPr>
      <w:r w:rsidRPr="00EC6F92">
        <w:rPr>
          <w:rFonts w:ascii="Times New Roman" w:eastAsia="Times New Roman" w:hAnsi="Times New Roman" w:cs="Times New Roman"/>
          <w:sz w:val="27"/>
          <w:szCs w:val="27"/>
        </w:rPr>
        <w:t>when the family member is unable to care for his or her own medical, safety or other needs, because of the serious health condition or needs help in being transported to the doctor; or</w:t>
      </w:r>
    </w:p>
    <w:p w:rsidR="00EC6F92" w:rsidRPr="00EC6F92" w:rsidRDefault="00EC6F92" w:rsidP="00EC6F92">
      <w:pPr>
        <w:numPr>
          <w:ilvl w:val="1"/>
          <w:numId w:val="1"/>
        </w:numPr>
        <w:spacing w:after="0" w:line="240" w:lineRule="auto"/>
        <w:ind w:left="351"/>
        <w:textAlignment w:val="top"/>
        <w:rPr>
          <w:rFonts w:ascii="Times New Roman" w:eastAsia="Times New Roman" w:hAnsi="Times New Roman" w:cs="Times New Roman"/>
          <w:sz w:val="27"/>
          <w:szCs w:val="27"/>
        </w:rPr>
      </w:pPr>
      <w:r w:rsidRPr="00EC6F92">
        <w:rPr>
          <w:rFonts w:ascii="Times New Roman" w:eastAsia="Times New Roman" w:hAnsi="Times New Roman" w:cs="Times New Roman"/>
          <w:sz w:val="27"/>
          <w:szCs w:val="27"/>
        </w:rPr>
        <w:t>to provide psychological comfort and reassurance to the family member with a serious health condition.</w:t>
      </w:r>
    </w:p>
    <w:p w:rsidR="00EC6F92" w:rsidRPr="00EC6F92" w:rsidRDefault="00EC6F92" w:rsidP="00EC6F92">
      <w:pPr>
        <w:spacing w:after="300" w:line="240" w:lineRule="auto"/>
        <w:rPr>
          <w:rFonts w:ascii="Times New Roman" w:eastAsia="Times New Roman" w:hAnsi="Times New Roman" w:cs="Times New Roman"/>
          <w:sz w:val="25"/>
          <w:szCs w:val="25"/>
        </w:rPr>
      </w:pPr>
      <w:r w:rsidRPr="00EC6F92">
        <w:rPr>
          <w:rFonts w:ascii="Times New Roman" w:eastAsia="Times New Roman" w:hAnsi="Times New Roman" w:cs="Times New Roman"/>
          <w:b/>
          <w:bCs/>
          <w:sz w:val="25"/>
          <w:szCs w:val="25"/>
        </w:rPr>
        <w:t>Spouse:</w:t>
      </w:r>
      <w:r w:rsidRPr="00EC6F92">
        <w:rPr>
          <w:rFonts w:ascii="Times New Roman" w:eastAsia="Times New Roman" w:hAnsi="Times New Roman" w:cs="Times New Roman"/>
          <w:sz w:val="25"/>
          <w:szCs w:val="25"/>
        </w:rPr>
        <w:t xml:space="preserve"> Spouse means a husband or wife as defined or recognized in the state where the individual was married and includes individuals in a same-sex marriage or common law marriage. Spouse also includes a </w:t>
      </w:r>
      <w:r w:rsidRPr="00EC6F92">
        <w:rPr>
          <w:rFonts w:ascii="Times New Roman" w:eastAsia="Times New Roman" w:hAnsi="Times New Roman" w:cs="Times New Roman"/>
          <w:sz w:val="25"/>
          <w:szCs w:val="25"/>
        </w:rPr>
        <w:lastRenderedPageBreak/>
        <w:t>husband or wife in a marriage that was validly entered into outside of the United States if the marriage could have been entered into in at least one state.</w:t>
      </w:r>
    </w:p>
    <w:p w:rsidR="00EC6F92" w:rsidRPr="00EC6F92" w:rsidRDefault="00EC6F92" w:rsidP="00EC6F92">
      <w:pPr>
        <w:spacing w:after="300" w:line="240" w:lineRule="auto"/>
        <w:rPr>
          <w:rFonts w:ascii="Times New Roman" w:eastAsia="Times New Roman" w:hAnsi="Times New Roman" w:cs="Times New Roman"/>
          <w:sz w:val="25"/>
          <w:szCs w:val="25"/>
        </w:rPr>
      </w:pPr>
      <w:r w:rsidRPr="00EC6F92">
        <w:rPr>
          <w:rFonts w:ascii="Times New Roman" w:eastAsia="Times New Roman" w:hAnsi="Times New Roman" w:cs="Times New Roman"/>
          <w:b/>
          <w:bCs/>
          <w:sz w:val="25"/>
          <w:szCs w:val="25"/>
        </w:rPr>
        <w:t>Parent:</w:t>
      </w:r>
      <w:r w:rsidRPr="00EC6F92">
        <w:rPr>
          <w:rFonts w:ascii="Times New Roman" w:eastAsia="Times New Roman" w:hAnsi="Times New Roman" w:cs="Times New Roman"/>
          <w:sz w:val="25"/>
          <w:szCs w:val="25"/>
        </w:rPr>
        <w:t> Parent means a biological, adoptive, step or foster father or mother, or any other individual who stood in loco parentis to the employee when the employee was a child. This term does not include parents “in law.”</w:t>
      </w:r>
    </w:p>
    <w:p w:rsidR="00EC6F92" w:rsidRPr="00EC6F92" w:rsidRDefault="00EC6F92" w:rsidP="00EC6F92">
      <w:pPr>
        <w:spacing w:after="300" w:line="240" w:lineRule="auto"/>
        <w:rPr>
          <w:rFonts w:ascii="Times New Roman" w:eastAsia="Times New Roman" w:hAnsi="Times New Roman" w:cs="Times New Roman"/>
          <w:sz w:val="25"/>
          <w:szCs w:val="25"/>
        </w:rPr>
      </w:pPr>
      <w:r w:rsidRPr="00EC6F92">
        <w:rPr>
          <w:rFonts w:ascii="Times New Roman" w:eastAsia="Times New Roman" w:hAnsi="Times New Roman" w:cs="Times New Roman"/>
          <w:b/>
          <w:bCs/>
          <w:sz w:val="25"/>
          <w:szCs w:val="25"/>
        </w:rPr>
        <w:t>Son or Daughter:</w:t>
      </w:r>
      <w:r w:rsidRPr="00EC6F92">
        <w:rPr>
          <w:rFonts w:ascii="Times New Roman" w:eastAsia="Times New Roman" w:hAnsi="Times New Roman" w:cs="Times New Roman"/>
          <w:sz w:val="25"/>
          <w:szCs w:val="25"/>
        </w:rPr>
        <w:t> Son or daughter means a biological, adopted, or foster child, a stepchild, a legal ward, or a child of a person standing in loco parentis, who is either under age 18, or age 18 or older and “incapable of self-care because of a mental or physical disability” at the time that FMLA leave is to commence.</w:t>
      </w:r>
    </w:p>
    <w:p w:rsidR="00EC6F92" w:rsidRPr="00EC6F92" w:rsidRDefault="00EC6F92" w:rsidP="00EC6F92">
      <w:pPr>
        <w:spacing w:after="300" w:line="240" w:lineRule="auto"/>
        <w:rPr>
          <w:rFonts w:ascii="Times New Roman" w:eastAsia="Times New Roman" w:hAnsi="Times New Roman" w:cs="Times New Roman"/>
          <w:sz w:val="25"/>
          <w:szCs w:val="25"/>
        </w:rPr>
      </w:pPr>
      <w:r w:rsidRPr="00EC6F92">
        <w:rPr>
          <w:rFonts w:ascii="Times New Roman" w:eastAsia="Times New Roman" w:hAnsi="Times New Roman" w:cs="Times New Roman"/>
          <w:b/>
          <w:bCs/>
          <w:sz w:val="25"/>
          <w:szCs w:val="25"/>
        </w:rPr>
        <w:t>In Loco Parentis:</w:t>
      </w:r>
      <w:r w:rsidRPr="00EC6F92">
        <w:rPr>
          <w:rFonts w:ascii="Times New Roman" w:eastAsia="Times New Roman" w:hAnsi="Times New Roman" w:cs="Times New Roman"/>
          <w:sz w:val="25"/>
          <w:szCs w:val="25"/>
        </w:rPr>
        <w:t> The FMLA regulations define in loco parentis as including those with day-to-day responsibilities to care for or financially support a child. Employees who have no biological or legal relationship with a child may, nonetheless, stand in loco parentis to the child and be entitled to FMLA leave. Similarly, an employee may take leave to care for someone who, although having no legal or biological relationship to the employee when the employee was a child, stood in loco parentis to the employee when the employee was a child, even if they have no legal or biological relationship.</w:t>
      </w:r>
    </w:p>
    <w:p w:rsidR="00EC6F92" w:rsidRPr="00EC6F92" w:rsidRDefault="00EC6F92" w:rsidP="00EC6F92">
      <w:pPr>
        <w:spacing w:after="300" w:line="240" w:lineRule="auto"/>
        <w:rPr>
          <w:rFonts w:ascii="Times New Roman" w:eastAsia="Times New Roman" w:hAnsi="Times New Roman" w:cs="Times New Roman"/>
          <w:sz w:val="25"/>
          <w:szCs w:val="25"/>
        </w:rPr>
      </w:pPr>
      <w:r w:rsidRPr="00EC6F92">
        <w:rPr>
          <w:rFonts w:ascii="Times New Roman" w:eastAsia="Times New Roman" w:hAnsi="Times New Roman" w:cs="Times New Roman"/>
          <w:i/>
          <w:iCs/>
          <w:sz w:val="25"/>
          <w:szCs w:val="25"/>
        </w:rPr>
        <w:t>See also</w:t>
      </w:r>
      <w:r w:rsidRPr="00EC6F92">
        <w:rPr>
          <w:rFonts w:ascii="Times New Roman" w:eastAsia="Times New Roman" w:hAnsi="Times New Roman" w:cs="Times New Roman"/>
          <w:sz w:val="25"/>
          <w:szCs w:val="25"/>
        </w:rPr>
        <w:t> </w:t>
      </w:r>
      <w:hyperlink r:id="rId8" w:history="1">
        <w:r w:rsidRPr="00EC6F92">
          <w:rPr>
            <w:rFonts w:ascii="Times New Roman" w:eastAsia="Times New Roman" w:hAnsi="Times New Roman" w:cs="Times New Roman"/>
            <w:color w:val="981B1E"/>
            <w:sz w:val="25"/>
            <w:szCs w:val="25"/>
            <w:u w:val="single"/>
          </w:rPr>
          <w:t>Administrator’s Interpretation No. 21010-3</w:t>
        </w:r>
      </w:hyperlink>
      <w:r w:rsidRPr="00EC6F92">
        <w:rPr>
          <w:rFonts w:ascii="Times New Roman" w:eastAsia="Times New Roman" w:hAnsi="Times New Roman" w:cs="Times New Roman"/>
          <w:sz w:val="25"/>
          <w:szCs w:val="25"/>
        </w:rPr>
        <w:t>; </w:t>
      </w:r>
      <w:hyperlink r:id="rId9" w:history="1">
        <w:r w:rsidRPr="00EC6F92">
          <w:rPr>
            <w:rFonts w:ascii="Times New Roman" w:eastAsia="Times New Roman" w:hAnsi="Times New Roman" w:cs="Times New Roman"/>
            <w:color w:val="981B1E"/>
            <w:sz w:val="25"/>
            <w:szCs w:val="25"/>
            <w:u w:val="single"/>
          </w:rPr>
          <w:t>Fact Sheet #28B: FMLA leave for birth, bonding, or to care for a child with a serious health condition on the basis of an “in loco parentis” relationship</w:t>
        </w:r>
      </w:hyperlink>
      <w:r w:rsidRPr="00EC6F92">
        <w:rPr>
          <w:rFonts w:ascii="Times New Roman" w:eastAsia="Times New Roman" w:hAnsi="Times New Roman" w:cs="Times New Roman"/>
          <w:sz w:val="25"/>
          <w:szCs w:val="25"/>
        </w:rPr>
        <w:t>; and </w:t>
      </w:r>
      <w:hyperlink r:id="rId10" w:history="1">
        <w:r w:rsidRPr="00EC6F92">
          <w:rPr>
            <w:rFonts w:ascii="Times New Roman" w:eastAsia="Times New Roman" w:hAnsi="Times New Roman" w:cs="Times New Roman"/>
            <w:color w:val="981B1E"/>
            <w:sz w:val="25"/>
            <w:szCs w:val="25"/>
            <w:u w:val="single"/>
          </w:rPr>
          <w:t>Fact Sheet 28C: FMLA leave to care for a parent with a serious health condition on the basis of an in loco parentis relationship</w:t>
        </w:r>
      </w:hyperlink>
      <w:r w:rsidRPr="00EC6F92">
        <w:rPr>
          <w:rFonts w:ascii="Times New Roman" w:eastAsia="Times New Roman" w:hAnsi="Times New Roman" w:cs="Times New Roman"/>
          <w:sz w:val="25"/>
          <w:szCs w:val="25"/>
        </w:rPr>
        <w:t>.</w:t>
      </w:r>
    </w:p>
    <w:p w:rsidR="00EC6F92" w:rsidRPr="00EC6F92" w:rsidRDefault="00EC6F92" w:rsidP="00EC6F92">
      <w:pPr>
        <w:numPr>
          <w:ilvl w:val="0"/>
          <w:numId w:val="2"/>
        </w:numPr>
        <w:spacing w:after="0" w:line="240" w:lineRule="auto"/>
        <w:ind w:left="63"/>
        <w:textAlignment w:val="top"/>
        <w:rPr>
          <w:rFonts w:ascii="Times New Roman" w:eastAsia="Times New Roman" w:hAnsi="Times New Roman" w:cs="Times New Roman"/>
          <w:sz w:val="25"/>
          <w:szCs w:val="25"/>
        </w:rPr>
      </w:pPr>
      <w:r w:rsidRPr="00EC6F92">
        <w:rPr>
          <w:rFonts w:ascii="Times New Roman" w:eastAsia="Times New Roman" w:hAnsi="Times New Roman" w:cs="Times New Roman"/>
          <w:b/>
          <w:bCs/>
          <w:sz w:val="25"/>
          <w:szCs w:val="25"/>
        </w:rPr>
        <w:t>Any qualifying exigency arising out of the fact that the employee’s spouse, son, daughter, or parent is a military member on covered active duty.</w:t>
      </w:r>
      <w:r w:rsidRPr="00EC6F92">
        <w:rPr>
          <w:rFonts w:ascii="Times New Roman" w:eastAsia="Times New Roman" w:hAnsi="Times New Roman" w:cs="Times New Roman"/>
          <w:sz w:val="25"/>
          <w:szCs w:val="25"/>
        </w:rPr>
        <w:br/>
        <w:t>Qualifying exigencies are situations arising from the military deployment of an employee’s spouse, son, daughter, or parent to a foreign country. Qualifying exigencies for which an employee may take FMLA leave include making alternative child care arrangements for a child of the military member when the deployment of the military member necessitates a change in the existing child care arrangement; attending certain military ceremonies and briefings; taking leave to spend time with a military member on Rest and Recuperation leave during deployment; or making financial or legal arrangements to address a covered military member’s absence; or certain activities related to care of the parent of the military member while the military member is on covered active duty. </w:t>
      </w:r>
      <w:r w:rsidRPr="00EC6F92">
        <w:rPr>
          <w:rFonts w:ascii="Times New Roman" w:eastAsia="Times New Roman" w:hAnsi="Times New Roman" w:cs="Times New Roman"/>
          <w:i/>
          <w:iCs/>
          <w:sz w:val="25"/>
          <w:szCs w:val="25"/>
        </w:rPr>
        <w:t>See</w:t>
      </w:r>
      <w:r w:rsidRPr="00EC6F92">
        <w:rPr>
          <w:rFonts w:ascii="Times New Roman" w:eastAsia="Times New Roman" w:hAnsi="Times New Roman" w:cs="Times New Roman"/>
          <w:sz w:val="25"/>
          <w:szCs w:val="25"/>
        </w:rPr>
        <w:t> </w:t>
      </w:r>
      <w:hyperlink r:id="rId11" w:history="1">
        <w:r w:rsidRPr="00EC6F92">
          <w:rPr>
            <w:rFonts w:ascii="Times New Roman" w:eastAsia="Times New Roman" w:hAnsi="Times New Roman" w:cs="Times New Roman"/>
            <w:color w:val="981B1E"/>
            <w:sz w:val="25"/>
            <w:szCs w:val="25"/>
            <w:u w:val="single"/>
          </w:rPr>
          <w:t>Fact Sheet 28M(c): Qualifying Exigency leave under the FMLA</w:t>
        </w:r>
      </w:hyperlink>
      <w:r w:rsidRPr="00EC6F92">
        <w:rPr>
          <w:rFonts w:ascii="Times New Roman" w:eastAsia="Times New Roman" w:hAnsi="Times New Roman" w:cs="Times New Roman"/>
          <w:sz w:val="25"/>
          <w:szCs w:val="25"/>
        </w:rPr>
        <w:t>. An employee may take qualifying exigency leave for the deployment of a son or daughter of any age.</w:t>
      </w:r>
    </w:p>
    <w:p w:rsidR="00EC6F92" w:rsidRPr="00EC6F92" w:rsidRDefault="00EC6F92" w:rsidP="00EC6F92">
      <w:pPr>
        <w:spacing w:after="300" w:line="240" w:lineRule="auto"/>
        <w:rPr>
          <w:rFonts w:ascii="Times New Roman" w:eastAsia="Times New Roman" w:hAnsi="Times New Roman" w:cs="Times New Roman"/>
          <w:sz w:val="25"/>
          <w:szCs w:val="25"/>
        </w:rPr>
      </w:pPr>
      <w:r w:rsidRPr="00EC6F92">
        <w:rPr>
          <w:rFonts w:ascii="Times New Roman" w:eastAsia="Times New Roman" w:hAnsi="Times New Roman" w:cs="Times New Roman"/>
          <w:sz w:val="25"/>
          <w:szCs w:val="25"/>
        </w:rPr>
        <w:t>An eligible employee may also take up to </w:t>
      </w:r>
      <w:r w:rsidRPr="00EC6F92">
        <w:rPr>
          <w:rFonts w:ascii="Times New Roman" w:eastAsia="Times New Roman" w:hAnsi="Times New Roman" w:cs="Times New Roman"/>
          <w:b/>
          <w:bCs/>
          <w:sz w:val="25"/>
          <w:szCs w:val="25"/>
        </w:rPr>
        <w:t>26 workweeks</w:t>
      </w:r>
      <w:r w:rsidRPr="00EC6F92">
        <w:rPr>
          <w:rFonts w:ascii="Times New Roman" w:eastAsia="Times New Roman" w:hAnsi="Times New Roman" w:cs="Times New Roman"/>
          <w:sz w:val="25"/>
          <w:szCs w:val="25"/>
        </w:rPr>
        <w:t> of FMLA leave in a single 12-month period:</w:t>
      </w:r>
    </w:p>
    <w:p w:rsidR="00EC6F92" w:rsidRPr="00EC6F92" w:rsidRDefault="00EC6F92" w:rsidP="00EC6F92">
      <w:pPr>
        <w:numPr>
          <w:ilvl w:val="0"/>
          <w:numId w:val="3"/>
        </w:numPr>
        <w:spacing w:after="0" w:line="240" w:lineRule="auto"/>
        <w:ind w:left="63"/>
        <w:textAlignment w:val="top"/>
        <w:rPr>
          <w:rFonts w:ascii="Times New Roman" w:eastAsia="Times New Roman" w:hAnsi="Times New Roman" w:cs="Times New Roman"/>
          <w:sz w:val="25"/>
          <w:szCs w:val="25"/>
        </w:rPr>
      </w:pPr>
      <w:r w:rsidRPr="00EC6F92">
        <w:rPr>
          <w:rFonts w:ascii="Times New Roman" w:eastAsia="Times New Roman" w:hAnsi="Times New Roman" w:cs="Times New Roman"/>
          <w:b/>
          <w:bCs/>
          <w:sz w:val="25"/>
          <w:szCs w:val="25"/>
        </w:rPr>
        <w:t xml:space="preserve">To care for a covered </w:t>
      </w:r>
      <w:proofErr w:type="spellStart"/>
      <w:r w:rsidRPr="00EC6F92">
        <w:rPr>
          <w:rFonts w:ascii="Times New Roman" w:eastAsia="Times New Roman" w:hAnsi="Times New Roman" w:cs="Times New Roman"/>
          <w:b/>
          <w:bCs/>
          <w:sz w:val="25"/>
          <w:szCs w:val="25"/>
        </w:rPr>
        <w:t>servicemember</w:t>
      </w:r>
      <w:proofErr w:type="spellEnd"/>
      <w:r w:rsidRPr="00EC6F92">
        <w:rPr>
          <w:rFonts w:ascii="Times New Roman" w:eastAsia="Times New Roman" w:hAnsi="Times New Roman" w:cs="Times New Roman"/>
          <w:b/>
          <w:bCs/>
          <w:sz w:val="25"/>
          <w:szCs w:val="25"/>
        </w:rPr>
        <w:t xml:space="preserve"> with a serious injury or illness if the employee is the spouse, son, daughter, parent, or next of kin of the </w:t>
      </w:r>
      <w:proofErr w:type="spellStart"/>
      <w:r w:rsidRPr="00EC6F92">
        <w:rPr>
          <w:rFonts w:ascii="Times New Roman" w:eastAsia="Times New Roman" w:hAnsi="Times New Roman" w:cs="Times New Roman"/>
          <w:b/>
          <w:bCs/>
          <w:sz w:val="25"/>
          <w:szCs w:val="25"/>
        </w:rPr>
        <w:t>servicemember</w:t>
      </w:r>
      <w:proofErr w:type="spellEnd"/>
      <w:r w:rsidRPr="00EC6F92">
        <w:rPr>
          <w:rFonts w:ascii="Times New Roman" w:eastAsia="Times New Roman" w:hAnsi="Times New Roman" w:cs="Times New Roman"/>
          <w:b/>
          <w:bCs/>
          <w:sz w:val="25"/>
          <w:szCs w:val="25"/>
        </w:rPr>
        <w:t xml:space="preserve"> (military caregiver leave).</w:t>
      </w:r>
      <w:r w:rsidRPr="00EC6F92">
        <w:rPr>
          <w:rFonts w:ascii="Times New Roman" w:eastAsia="Times New Roman" w:hAnsi="Times New Roman" w:cs="Times New Roman"/>
          <w:sz w:val="25"/>
          <w:szCs w:val="25"/>
        </w:rPr>
        <w:br/>
        <w:t xml:space="preserve">Eligible family members of both current </w:t>
      </w:r>
      <w:proofErr w:type="spellStart"/>
      <w:r w:rsidRPr="00EC6F92">
        <w:rPr>
          <w:rFonts w:ascii="Times New Roman" w:eastAsia="Times New Roman" w:hAnsi="Times New Roman" w:cs="Times New Roman"/>
          <w:sz w:val="25"/>
          <w:szCs w:val="25"/>
        </w:rPr>
        <w:t>servicemembers</w:t>
      </w:r>
      <w:proofErr w:type="spellEnd"/>
      <w:r w:rsidRPr="00EC6F92">
        <w:rPr>
          <w:rFonts w:ascii="Times New Roman" w:eastAsia="Times New Roman" w:hAnsi="Times New Roman" w:cs="Times New Roman"/>
          <w:sz w:val="25"/>
          <w:szCs w:val="25"/>
        </w:rPr>
        <w:t xml:space="preserve"> and certain veterans are entitled to military caregiver leave. </w:t>
      </w:r>
      <w:r w:rsidRPr="00EC6F92">
        <w:rPr>
          <w:rFonts w:ascii="Times New Roman" w:eastAsia="Times New Roman" w:hAnsi="Times New Roman" w:cs="Times New Roman"/>
          <w:i/>
          <w:iCs/>
          <w:sz w:val="25"/>
          <w:szCs w:val="25"/>
        </w:rPr>
        <w:t>See</w:t>
      </w:r>
      <w:r w:rsidRPr="00EC6F92">
        <w:rPr>
          <w:rFonts w:ascii="Times New Roman" w:eastAsia="Times New Roman" w:hAnsi="Times New Roman" w:cs="Times New Roman"/>
          <w:sz w:val="25"/>
          <w:szCs w:val="25"/>
        </w:rPr>
        <w:t> </w:t>
      </w:r>
      <w:hyperlink r:id="rId12" w:history="1">
        <w:r w:rsidRPr="00EC6F92">
          <w:rPr>
            <w:rFonts w:ascii="Times New Roman" w:eastAsia="Times New Roman" w:hAnsi="Times New Roman" w:cs="Times New Roman"/>
            <w:color w:val="981B1E"/>
            <w:sz w:val="25"/>
            <w:szCs w:val="25"/>
            <w:u w:val="single"/>
          </w:rPr>
          <w:t xml:space="preserve">Fact Sheet 28M(a): Military Caregiver Leave for a Current </w:t>
        </w:r>
        <w:proofErr w:type="spellStart"/>
        <w:r w:rsidRPr="00EC6F92">
          <w:rPr>
            <w:rFonts w:ascii="Times New Roman" w:eastAsia="Times New Roman" w:hAnsi="Times New Roman" w:cs="Times New Roman"/>
            <w:color w:val="981B1E"/>
            <w:sz w:val="25"/>
            <w:szCs w:val="25"/>
            <w:u w:val="single"/>
          </w:rPr>
          <w:t>Servicemember</w:t>
        </w:r>
        <w:proofErr w:type="spellEnd"/>
        <w:r w:rsidRPr="00EC6F92">
          <w:rPr>
            <w:rFonts w:ascii="Times New Roman" w:eastAsia="Times New Roman" w:hAnsi="Times New Roman" w:cs="Times New Roman"/>
            <w:color w:val="981B1E"/>
            <w:sz w:val="25"/>
            <w:szCs w:val="25"/>
            <w:u w:val="single"/>
          </w:rPr>
          <w:t xml:space="preserve"> under the FMLA</w:t>
        </w:r>
      </w:hyperlink>
      <w:r w:rsidRPr="00EC6F92">
        <w:rPr>
          <w:rFonts w:ascii="Times New Roman" w:eastAsia="Times New Roman" w:hAnsi="Times New Roman" w:cs="Times New Roman"/>
          <w:sz w:val="25"/>
          <w:szCs w:val="25"/>
        </w:rPr>
        <w:t>, and </w:t>
      </w:r>
      <w:hyperlink r:id="rId13" w:history="1">
        <w:r w:rsidRPr="00EC6F92">
          <w:rPr>
            <w:rFonts w:ascii="Times New Roman" w:eastAsia="Times New Roman" w:hAnsi="Times New Roman" w:cs="Times New Roman"/>
            <w:color w:val="981B1E"/>
            <w:sz w:val="25"/>
            <w:szCs w:val="25"/>
            <w:u w:val="single"/>
          </w:rPr>
          <w:t>Fact Sheet 28M(b): Military Caregiver Leave for a Veteran under the FMLA</w:t>
        </w:r>
      </w:hyperlink>
      <w:r w:rsidRPr="00EC6F92">
        <w:rPr>
          <w:rFonts w:ascii="Times New Roman" w:eastAsia="Times New Roman" w:hAnsi="Times New Roman" w:cs="Times New Roman"/>
          <w:sz w:val="25"/>
          <w:szCs w:val="25"/>
        </w:rPr>
        <w:t>.</w:t>
      </w:r>
    </w:p>
    <w:p w:rsidR="00EC6F92" w:rsidRDefault="00EC6F92" w:rsidP="00EC6F92">
      <w:pPr>
        <w:spacing w:after="300" w:line="312" w:lineRule="atLeast"/>
        <w:outlineLvl w:val="1"/>
        <w:rPr>
          <w:rFonts w:ascii="Times New Roman" w:eastAsia="Times New Roman" w:hAnsi="Times New Roman" w:cs="Times New Roman"/>
          <w:b/>
          <w:bCs/>
          <w:sz w:val="36"/>
          <w:szCs w:val="36"/>
        </w:rPr>
      </w:pPr>
    </w:p>
    <w:p w:rsidR="00EC6F92" w:rsidRPr="00EC6F92" w:rsidRDefault="00EC6F92" w:rsidP="00EC6F92">
      <w:pPr>
        <w:spacing w:after="300" w:line="312" w:lineRule="atLeast"/>
        <w:outlineLvl w:val="1"/>
        <w:rPr>
          <w:rFonts w:ascii="Times New Roman" w:eastAsia="Times New Roman" w:hAnsi="Times New Roman" w:cs="Times New Roman"/>
          <w:b/>
          <w:bCs/>
          <w:sz w:val="32"/>
          <w:szCs w:val="32"/>
        </w:rPr>
      </w:pPr>
      <w:r w:rsidRPr="00EC6F92">
        <w:rPr>
          <w:rFonts w:ascii="Times New Roman" w:eastAsia="Times New Roman" w:hAnsi="Times New Roman" w:cs="Times New Roman"/>
          <w:b/>
          <w:bCs/>
          <w:sz w:val="32"/>
          <w:szCs w:val="32"/>
        </w:rPr>
        <w:t>ENFORCEMENT</w:t>
      </w:r>
    </w:p>
    <w:p w:rsidR="00EC6F92" w:rsidRPr="00EC6F92" w:rsidRDefault="00EC6F92" w:rsidP="00EC6F92">
      <w:pPr>
        <w:spacing w:after="300" w:line="240" w:lineRule="auto"/>
        <w:rPr>
          <w:rFonts w:ascii="Times New Roman" w:eastAsia="Times New Roman" w:hAnsi="Times New Roman" w:cs="Times New Roman"/>
          <w:sz w:val="25"/>
          <w:szCs w:val="25"/>
        </w:rPr>
      </w:pPr>
      <w:r w:rsidRPr="00EC6F92">
        <w:rPr>
          <w:rFonts w:ascii="Times New Roman" w:eastAsia="Times New Roman" w:hAnsi="Times New Roman" w:cs="Times New Roman"/>
          <w:sz w:val="25"/>
          <w:szCs w:val="25"/>
        </w:rPr>
        <w:t>It is unlawful for any employer to interfere with, restrain, or deny the exercise of any right provided by the FMLA. It is also unlawful for an employer to discharge or discriminate against any individual for opposing any practice, or because of involvement in any proceeding, related to the FMLA. </w:t>
      </w:r>
      <w:r w:rsidRPr="00EC6F92">
        <w:rPr>
          <w:rFonts w:ascii="Times New Roman" w:eastAsia="Times New Roman" w:hAnsi="Times New Roman" w:cs="Times New Roman"/>
          <w:i/>
          <w:iCs/>
          <w:sz w:val="25"/>
          <w:szCs w:val="25"/>
        </w:rPr>
        <w:t>See</w:t>
      </w:r>
      <w:r w:rsidRPr="00EC6F92">
        <w:rPr>
          <w:rFonts w:ascii="Times New Roman" w:eastAsia="Times New Roman" w:hAnsi="Times New Roman" w:cs="Times New Roman"/>
          <w:sz w:val="25"/>
          <w:szCs w:val="25"/>
        </w:rPr>
        <w:t> </w:t>
      </w:r>
      <w:hyperlink r:id="rId14" w:history="1">
        <w:r w:rsidRPr="00EC6F92">
          <w:rPr>
            <w:rFonts w:ascii="Times New Roman" w:eastAsia="Times New Roman" w:hAnsi="Times New Roman" w:cs="Times New Roman"/>
            <w:color w:val="981B1E"/>
            <w:sz w:val="25"/>
            <w:szCs w:val="25"/>
            <w:u w:val="single"/>
          </w:rPr>
          <w:t xml:space="preserve">Fact Sheet 77B: </w:t>
        </w:r>
        <w:r w:rsidRPr="00EC6F92">
          <w:rPr>
            <w:rFonts w:ascii="Times New Roman" w:eastAsia="Times New Roman" w:hAnsi="Times New Roman" w:cs="Times New Roman"/>
            <w:color w:val="981B1E"/>
            <w:sz w:val="25"/>
            <w:szCs w:val="25"/>
            <w:u w:val="single"/>
          </w:rPr>
          <w:lastRenderedPageBreak/>
          <w:t>Protections for Individuals under the FMLA</w:t>
        </w:r>
      </w:hyperlink>
      <w:r w:rsidRPr="00EC6F92">
        <w:rPr>
          <w:rFonts w:ascii="Times New Roman" w:eastAsia="Times New Roman" w:hAnsi="Times New Roman" w:cs="Times New Roman"/>
          <w:sz w:val="25"/>
          <w:szCs w:val="25"/>
        </w:rPr>
        <w:t>. The Wage and Hour Division is responsible for administering and enforcing the FMLA for most employees. Most federal and certain congressional employees are also covered by the law but are subject to the jurisdiction of the U.S. Office of Personnel Management or Congress. If you believe that your rights under the FMLA have been violated, you may file a complaint with the Wage and Hour Division or file a private lawsuit against your employer in court.</w:t>
      </w:r>
    </w:p>
    <w:p w:rsidR="00EC6F92" w:rsidRPr="00EC6F92" w:rsidRDefault="00EC6F92" w:rsidP="00EC6F92">
      <w:pPr>
        <w:spacing w:after="300" w:line="240" w:lineRule="auto"/>
        <w:rPr>
          <w:rFonts w:ascii="Times New Roman" w:eastAsia="Times New Roman" w:hAnsi="Times New Roman" w:cs="Times New Roman"/>
          <w:sz w:val="25"/>
          <w:szCs w:val="25"/>
        </w:rPr>
      </w:pPr>
      <w:r w:rsidRPr="00EC6F92">
        <w:rPr>
          <w:rFonts w:ascii="Times New Roman" w:eastAsia="Times New Roman" w:hAnsi="Times New Roman" w:cs="Times New Roman"/>
          <w:b/>
          <w:bCs/>
          <w:sz w:val="25"/>
          <w:szCs w:val="25"/>
        </w:rPr>
        <w:t>For additional information, visit our Wage and Hour Division Website: </w:t>
      </w:r>
      <w:hyperlink r:id="rId15" w:history="1">
        <w:r w:rsidRPr="00EC6F92">
          <w:rPr>
            <w:rFonts w:ascii="Times New Roman" w:eastAsia="Times New Roman" w:hAnsi="Times New Roman" w:cs="Times New Roman"/>
            <w:b/>
            <w:bCs/>
            <w:color w:val="981B1E"/>
            <w:sz w:val="25"/>
            <w:szCs w:val="25"/>
            <w:u w:val="single"/>
          </w:rPr>
          <w:t>http://www.wagehour.dol.gov</w:t>
        </w:r>
      </w:hyperlink>
      <w:r w:rsidRPr="00EC6F92">
        <w:rPr>
          <w:rFonts w:ascii="Times New Roman" w:eastAsia="Times New Roman" w:hAnsi="Times New Roman" w:cs="Times New Roman"/>
          <w:b/>
          <w:bCs/>
          <w:sz w:val="25"/>
          <w:szCs w:val="25"/>
        </w:rPr>
        <w:t> and/or call our toll-free information and helpline, available 8 a.m. to 5 p.m. in your time zone, 1-866-4USWAGE (1-866-487-9243).</w:t>
      </w:r>
    </w:p>
    <w:p w:rsidR="00EC6F92" w:rsidRPr="00EC6F92" w:rsidRDefault="00EC6F92" w:rsidP="00EC6F92">
      <w:pPr>
        <w:spacing w:after="300" w:line="240" w:lineRule="auto"/>
        <w:rPr>
          <w:rFonts w:ascii="Times New Roman" w:eastAsia="Times New Roman" w:hAnsi="Times New Roman" w:cs="Times New Roman"/>
          <w:sz w:val="25"/>
          <w:szCs w:val="25"/>
        </w:rPr>
      </w:pPr>
      <w:r w:rsidRPr="00EC6F92">
        <w:rPr>
          <w:rFonts w:ascii="Times New Roman" w:eastAsia="Times New Roman" w:hAnsi="Times New Roman" w:cs="Times New Roman"/>
          <w:sz w:val="25"/>
          <w:szCs w:val="25"/>
        </w:rPr>
        <w:t>This publication is for general information and is not to be considered in the same light as official statements of position contained in the regulations.</w:t>
      </w:r>
    </w:p>
    <w:p w:rsidR="00EC6F92" w:rsidRPr="00EC6F92" w:rsidRDefault="00EC6F92" w:rsidP="00EC6F92">
      <w:pPr>
        <w:spacing w:after="300" w:line="240" w:lineRule="auto"/>
        <w:rPr>
          <w:rFonts w:ascii="Times New Roman" w:eastAsia="Times New Roman" w:hAnsi="Times New Roman" w:cs="Times New Roman"/>
          <w:sz w:val="25"/>
          <w:szCs w:val="25"/>
        </w:rPr>
      </w:pPr>
      <w:r w:rsidRPr="00EC6F92">
        <w:rPr>
          <w:rFonts w:ascii="Times New Roman" w:eastAsia="Times New Roman" w:hAnsi="Times New Roman" w:cs="Times New Roman"/>
          <w:sz w:val="25"/>
          <w:szCs w:val="25"/>
        </w:rPr>
        <w:t>The contents of this document do not have the force and effect of law and are not meant to bind the public in any way. This document is intended only to provide clarity to the public regarding existing requirements under the law or agency policies.</w:t>
      </w:r>
    </w:p>
    <w:p w:rsidR="000A2575" w:rsidRDefault="00EC6F92">
      <w:r>
        <w:t xml:space="preserve">Source: </w:t>
      </w:r>
      <w:hyperlink r:id="rId16" w:history="1">
        <w:r>
          <w:rPr>
            <w:rStyle w:val="Hyperlink"/>
          </w:rPr>
          <w:t>https://www.dol.gov/agencies/whd/fact-sheets/28f-fmla-qualifying-reasons</w:t>
        </w:r>
      </w:hyperlink>
    </w:p>
    <w:p w:rsidR="00EC6F92" w:rsidRDefault="00EC6F92">
      <w:bookmarkStart w:id="0" w:name="_GoBack"/>
      <w:bookmarkEnd w:id="0"/>
    </w:p>
    <w:sectPr w:rsidR="00EC6F92" w:rsidSect="00EC6F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40664"/>
    <w:multiLevelType w:val="multilevel"/>
    <w:tmpl w:val="90242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EE0A35"/>
    <w:multiLevelType w:val="multilevel"/>
    <w:tmpl w:val="911E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6B6BBC"/>
    <w:multiLevelType w:val="multilevel"/>
    <w:tmpl w:val="B42C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92"/>
    <w:rsid w:val="007B2A60"/>
    <w:rsid w:val="00E11623"/>
    <w:rsid w:val="00EC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B005"/>
  <w15:chartTrackingRefBased/>
  <w15:docId w15:val="{AA91855E-47F2-4523-B330-E188F439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6F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C6F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F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C6F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C6F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6F92"/>
    <w:rPr>
      <w:color w:val="0000FF"/>
      <w:u w:val="single"/>
    </w:rPr>
  </w:style>
  <w:style w:type="character" w:styleId="Emphasis">
    <w:name w:val="Emphasis"/>
    <w:basedOn w:val="DefaultParagraphFont"/>
    <w:uiPriority w:val="20"/>
    <w:qFormat/>
    <w:rsid w:val="00EC6F92"/>
    <w:rPr>
      <w:i/>
      <w:iCs/>
    </w:rPr>
  </w:style>
  <w:style w:type="character" w:styleId="Strong">
    <w:name w:val="Strong"/>
    <w:basedOn w:val="DefaultParagraphFont"/>
    <w:uiPriority w:val="22"/>
    <w:qFormat/>
    <w:rsid w:val="00EC6F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950783">
      <w:bodyDiv w:val="1"/>
      <w:marLeft w:val="0"/>
      <w:marRight w:val="0"/>
      <w:marTop w:val="0"/>
      <w:marBottom w:val="0"/>
      <w:divBdr>
        <w:top w:val="none" w:sz="0" w:space="0" w:color="auto"/>
        <w:left w:val="none" w:sz="0" w:space="0" w:color="auto"/>
        <w:bottom w:val="none" w:sz="0" w:space="0" w:color="auto"/>
        <w:right w:val="none" w:sz="0" w:space="0" w:color="auto"/>
      </w:divBdr>
      <w:divsChild>
        <w:div w:id="2041474333">
          <w:marLeft w:val="0"/>
          <w:marRight w:val="0"/>
          <w:marTop w:val="0"/>
          <w:marBottom w:val="0"/>
          <w:divBdr>
            <w:top w:val="none" w:sz="0" w:space="0" w:color="auto"/>
            <w:left w:val="none" w:sz="0" w:space="0" w:color="auto"/>
            <w:bottom w:val="none" w:sz="0" w:space="0" w:color="auto"/>
            <w:right w:val="none" w:sz="0" w:space="0" w:color="auto"/>
          </w:divBdr>
          <w:divsChild>
            <w:div w:id="347950362">
              <w:marLeft w:val="0"/>
              <w:marRight w:val="0"/>
              <w:marTop w:val="0"/>
              <w:marBottom w:val="0"/>
              <w:divBdr>
                <w:top w:val="none" w:sz="0" w:space="0" w:color="auto"/>
                <w:left w:val="none" w:sz="0" w:space="0" w:color="auto"/>
                <w:bottom w:val="none" w:sz="0" w:space="0" w:color="auto"/>
                <w:right w:val="none" w:sz="0" w:space="0" w:color="auto"/>
              </w:divBdr>
              <w:divsChild>
                <w:div w:id="855731979">
                  <w:marLeft w:val="0"/>
                  <w:marRight w:val="0"/>
                  <w:marTop w:val="0"/>
                  <w:marBottom w:val="0"/>
                  <w:divBdr>
                    <w:top w:val="none" w:sz="0" w:space="0" w:color="auto"/>
                    <w:left w:val="none" w:sz="0" w:space="0" w:color="auto"/>
                    <w:bottom w:val="none" w:sz="0" w:space="0" w:color="auto"/>
                    <w:right w:val="none" w:sz="0" w:space="0" w:color="auto"/>
                  </w:divBdr>
                  <w:divsChild>
                    <w:div w:id="1054961596">
                      <w:marLeft w:val="0"/>
                      <w:marRight w:val="0"/>
                      <w:marTop w:val="0"/>
                      <w:marBottom w:val="0"/>
                      <w:divBdr>
                        <w:top w:val="none" w:sz="0" w:space="0" w:color="auto"/>
                        <w:left w:val="none" w:sz="0" w:space="0" w:color="auto"/>
                        <w:bottom w:val="none" w:sz="0" w:space="0" w:color="auto"/>
                        <w:right w:val="none" w:sz="0" w:space="0" w:color="auto"/>
                      </w:divBdr>
                      <w:divsChild>
                        <w:div w:id="656109674">
                          <w:marLeft w:val="0"/>
                          <w:marRight w:val="0"/>
                          <w:marTop w:val="0"/>
                          <w:marBottom w:val="0"/>
                          <w:divBdr>
                            <w:top w:val="none" w:sz="0" w:space="0" w:color="auto"/>
                            <w:left w:val="none" w:sz="0" w:space="0" w:color="auto"/>
                            <w:bottom w:val="none" w:sz="0" w:space="0" w:color="auto"/>
                            <w:right w:val="none" w:sz="0" w:space="0" w:color="auto"/>
                          </w:divBdr>
                          <w:divsChild>
                            <w:div w:id="277373753">
                              <w:marLeft w:val="0"/>
                              <w:marRight w:val="0"/>
                              <w:marTop w:val="0"/>
                              <w:marBottom w:val="0"/>
                              <w:divBdr>
                                <w:top w:val="none" w:sz="0" w:space="0" w:color="auto"/>
                                <w:left w:val="none" w:sz="0" w:space="0" w:color="auto"/>
                                <w:bottom w:val="none" w:sz="0" w:space="0" w:color="auto"/>
                                <w:right w:val="none" w:sz="0" w:space="0" w:color="auto"/>
                              </w:divBdr>
                              <w:divsChild>
                                <w:div w:id="65229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814188">
          <w:marLeft w:val="0"/>
          <w:marRight w:val="0"/>
          <w:marTop w:val="0"/>
          <w:marBottom w:val="0"/>
          <w:divBdr>
            <w:top w:val="none" w:sz="0" w:space="0" w:color="auto"/>
            <w:left w:val="none" w:sz="0" w:space="0" w:color="auto"/>
            <w:bottom w:val="none" w:sz="0" w:space="0" w:color="auto"/>
            <w:right w:val="none" w:sz="0" w:space="0" w:color="auto"/>
          </w:divBdr>
          <w:divsChild>
            <w:div w:id="1886671144">
              <w:marLeft w:val="0"/>
              <w:marRight w:val="0"/>
              <w:marTop w:val="0"/>
              <w:marBottom w:val="0"/>
              <w:divBdr>
                <w:top w:val="none" w:sz="0" w:space="0" w:color="auto"/>
                <w:left w:val="none" w:sz="0" w:space="0" w:color="auto"/>
                <w:bottom w:val="none" w:sz="0" w:space="0" w:color="auto"/>
                <w:right w:val="none" w:sz="0" w:space="0" w:color="auto"/>
              </w:divBdr>
              <w:divsChild>
                <w:div w:id="164514317">
                  <w:marLeft w:val="0"/>
                  <w:marRight w:val="0"/>
                  <w:marTop w:val="0"/>
                  <w:marBottom w:val="0"/>
                  <w:divBdr>
                    <w:top w:val="none" w:sz="0" w:space="0" w:color="auto"/>
                    <w:left w:val="none" w:sz="0" w:space="0" w:color="auto"/>
                    <w:bottom w:val="none" w:sz="0" w:space="0" w:color="auto"/>
                    <w:right w:val="none" w:sz="0" w:space="0" w:color="auto"/>
                  </w:divBdr>
                  <w:divsChild>
                    <w:div w:id="175921439">
                      <w:marLeft w:val="0"/>
                      <w:marRight w:val="0"/>
                      <w:marTop w:val="0"/>
                      <w:marBottom w:val="0"/>
                      <w:divBdr>
                        <w:top w:val="none" w:sz="0" w:space="0" w:color="auto"/>
                        <w:left w:val="none" w:sz="0" w:space="0" w:color="auto"/>
                        <w:bottom w:val="none" w:sz="0" w:space="0" w:color="auto"/>
                        <w:right w:val="none" w:sz="0" w:space="0" w:color="auto"/>
                      </w:divBdr>
                      <w:divsChild>
                        <w:div w:id="422803428">
                          <w:marLeft w:val="0"/>
                          <w:marRight w:val="0"/>
                          <w:marTop w:val="0"/>
                          <w:marBottom w:val="0"/>
                          <w:divBdr>
                            <w:top w:val="none" w:sz="0" w:space="0" w:color="auto"/>
                            <w:left w:val="none" w:sz="0" w:space="0" w:color="auto"/>
                            <w:bottom w:val="none" w:sz="0" w:space="0" w:color="auto"/>
                            <w:right w:val="none" w:sz="0" w:space="0" w:color="auto"/>
                          </w:divBdr>
                          <w:divsChild>
                            <w:div w:id="61373589">
                              <w:marLeft w:val="-225"/>
                              <w:marRight w:val="-225"/>
                              <w:marTop w:val="0"/>
                              <w:marBottom w:val="0"/>
                              <w:divBdr>
                                <w:top w:val="none" w:sz="0" w:space="0" w:color="auto"/>
                                <w:left w:val="none" w:sz="0" w:space="0" w:color="auto"/>
                                <w:bottom w:val="none" w:sz="0" w:space="0" w:color="auto"/>
                                <w:right w:val="none" w:sz="0" w:space="0" w:color="auto"/>
                              </w:divBdr>
                              <w:divsChild>
                                <w:div w:id="246617813">
                                  <w:marLeft w:val="0"/>
                                  <w:marRight w:val="0"/>
                                  <w:marTop w:val="0"/>
                                  <w:marBottom w:val="0"/>
                                  <w:divBdr>
                                    <w:top w:val="none" w:sz="0" w:space="0" w:color="auto"/>
                                    <w:left w:val="none" w:sz="0" w:space="0" w:color="auto"/>
                                    <w:bottom w:val="none" w:sz="0" w:space="0" w:color="auto"/>
                                    <w:right w:val="none" w:sz="0" w:space="0" w:color="auto"/>
                                  </w:divBdr>
                                  <w:divsChild>
                                    <w:div w:id="1686638170">
                                      <w:marLeft w:val="0"/>
                                      <w:marRight w:val="0"/>
                                      <w:marTop w:val="0"/>
                                      <w:marBottom w:val="0"/>
                                      <w:divBdr>
                                        <w:top w:val="none" w:sz="0" w:space="0" w:color="auto"/>
                                        <w:left w:val="none" w:sz="0" w:space="0" w:color="auto"/>
                                        <w:bottom w:val="none" w:sz="0" w:space="0" w:color="auto"/>
                                        <w:right w:val="none" w:sz="0" w:space="0" w:color="auto"/>
                                      </w:divBdr>
                                      <w:divsChild>
                                        <w:div w:id="1388990802">
                                          <w:marLeft w:val="0"/>
                                          <w:marRight w:val="0"/>
                                          <w:marTop w:val="0"/>
                                          <w:marBottom w:val="0"/>
                                          <w:divBdr>
                                            <w:top w:val="none" w:sz="0" w:space="0" w:color="auto"/>
                                            <w:left w:val="none" w:sz="0" w:space="0" w:color="auto"/>
                                            <w:bottom w:val="none" w:sz="0" w:space="0" w:color="auto"/>
                                            <w:right w:val="none" w:sz="0" w:space="0" w:color="auto"/>
                                          </w:divBdr>
                                          <w:divsChild>
                                            <w:div w:id="2096704934">
                                              <w:marLeft w:val="0"/>
                                              <w:marRight w:val="0"/>
                                              <w:marTop w:val="0"/>
                                              <w:marBottom w:val="0"/>
                                              <w:divBdr>
                                                <w:top w:val="none" w:sz="0" w:space="0" w:color="auto"/>
                                                <w:left w:val="none" w:sz="0" w:space="0" w:color="auto"/>
                                                <w:bottom w:val="none" w:sz="0" w:space="0" w:color="auto"/>
                                                <w:right w:val="none" w:sz="0" w:space="0" w:color="auto"/>
                                              </w:divBdr>
                                              <w:divsChild>
                                                <w:div w:id="19316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2704849">
              <w:marLeft w:val="0"/>
              <w:marRight w:val="0"/>
              <w:marTop w:val="0"/>
              <w:marBottom w:val="0"/>
              <w:divBdr>
                <w:top w:val="none" w:sz="0" w:space="0" w:color="auto"/>
                <w:left w:val="none" w:sz="0" w:space="0" w:color="auto"/>
                <w:bottom w:val="none" w:sz="0" w:space="0" w:color="auto"/>
                <w:right w:val="none" w:sz="0" w:space="0" w:color="auto"/>
              </w:divBdr>
              <w:divsChild>
                <w:div w:id="799031899">
                  <w:marLeft w:val="0"/>
                  <w:marRight w:val="0"/>
                  <w:marTop w:val="0"/>
                  <w:marBottom w:val="0"/>
                  <w:divBdr>
                    <w:top w:val="none" w:sz="0" w:space="0" w:color="auto"/>
                    <w:left w:val="none" w:sz="0" w:space="0" w:color="auto"/>
                    <w:bottom w:val="none" w:sz="0" w:space="0" w:color="auto"/>
                    <w:right w:val="none" w:sz="0" w:space="0" w:color="auto"/>
                  </w:divBdr>
                  <w:divsChild>
                    <w:div w:id="4621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WHD/legacy/files/FMLAAI2010_3.pdf" TargetMode="External"/><Relationship Id="rId13" Type="http://schemas.openxmlformats.org/officeDocument/2006/relationships/hyperlink" Target="https://www.dol.gov/sites/dolgov/files/WHD/legacy/files/whdfs28mb.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l.gov/sites/dolgov/files/WHD/legacy/files/whdfs28.pdf" TargetMode="External"/><Relationship Id="rId12" Type="http://schemas.openxmlformats.org/officeDocument/2006/relationships/hyperlink" Target="https://www.dol.gov/sites/dolgov/files/WHD/legacy/files/whdfs28ma.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ol.gov/agencies/whd/fact-sheets/28f-fmla-qualifying-reasons" TargetMode="External"/><Relationship Id="rId1" Type="http://schemas.openxmlformats.org/officeDocument/2006/relationships/numbering" Target="numbering.xml"/><Relationship Id="rId6" Type="http://schemas.openxmlformats.org/officeDocument/2006/relationships/hyperlink" Target="https://www.dol.gov/sites/dolgov/files/WHD/legacy/files/whdfs28m.pdf" TargetMode="External"/><Relationship Id="rId11" Type="http://schemas.openxmlformats.org/officeDocument/2006/relationships/hyperlink" Target="https://www.dol.gov/sites/dolgov/files/WHD/legacy/files/whdfs28mc.pdf" TargetMode="External"/><Relationship Id="rId5" Type="http://schemas.openxmlformats.org/officeDocument/2006/relationships/hyperlink" Target="https://www.dol.gov/sites/dolgov/files/WHD/legacy/files/whdfs28a.pdf" TargetMode="External"/><Relationship Id="rId15" Type="http://schemas.openxmlformats.org/officeDocument/2006/relationships/hyperlink" Target="https://www.dol.gov/agencies/whd" TargetMode="External"/><Relationship Id="rId10" Type="http://schemas.openxmlformats.org/officeDocument/2006/relationships/hyperlink" Target="https://www.dol.gov/sites/dolgov/files/WHD/legacy/files/whdfs28c.pdf" TargetMode="External"/><Relationship Id="rId4" Type="http://schemas.openxmlformats.org/officeDocument/2006/relationships/webSettings" Target="webSettings.xml"/><Relationship Id="rId9" Type="http://schemas.openxmlformats.org/officeDocument/2006/relationships/hyperlink" Target="https://www.dol.gov/sites/dolgov/files/WHD/legacy/files/whdfs28b.pdf" TargetMode="External"/><Relationship Id="rId14" Type="http://schemas.openxmlformats.org/officeDocument/2006/relationships/hyperlink" Target="https://www.dol.gov/sites/dolgov/files/WHD/legacy/files/whdfs77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Barton</dc:creator>
  <cp:keywords/>
  <dc:description/>
  <cp:lastModifiedBy>JoEllen Barton</cp:lastModifiedBy>
  <cp:revision>1</cp:revision>
  <dcterms:created xsi:type="dcterms:W3CDTF">2020-02-14T13:54:00Z</dcterms:created>
  <dcterms:modified xsi:type="dcterms:W3CDTF">2020-02-14T13:55:00Z</dcterms:modified>
</cp:coreProperties>
</file>