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A0B" w:rsidRPr="00A44A0B" w:rsidRDefault="00A44A0B" w:rsidP="00A44A0B">
      <w:pPr>
        <w:shd w:val="clear" w:color="auto" w:fill="FFFFFF"/>
        <w:spacing w:before="150" w:after="0" w:line="240" w:lineRule="auto"/>
        <w:outlineLvl w:val="0"/>
        <w:rPr>
          <w:rFonts w:ascii="Times New Roman" w:eastAsia="Times New Roman" w:hAnsi="Times New Roman" w:cs="Times New Roman"/>
          <w:b/>
          <w:bCs/>
          <w:kern w:val="36"/>
          <w:sz w:val="40"/>
          <w:szCs w:val="40"/>
        </w:rPr>
      </w:pPr>
      <w:r w:rsidRPr="00A44A0B">
        <w:rPr>
          <w:rFonts w:ascii="Times New Roman" w:eastAsia="Times New Roman" w:hAnsi="Times New Roman" w:cs="Times New Roman"/>
          <w:b/>
          <w:bCs/>
          <w:kern w:val="36"/>
          <w:sz w:val="40"/>
          <w:szCs w:val="40"/>
        </w:rPr>
        <w:t>Fact Sheet #28: The Family and Medical Leave Act</w:t>
      </w:r>
    </w:p>
    <w:p w:rsidR="00A44A0B" w:rsidRPr="00A44A0B" w:rsidRDefault="00A44A0B" w:rsidP="00A44A0B">
      <w:pPr>
        <w:spacing w:after="300" w:line="240" w:lineRule="auto"/>
        <w:rPr>
          <w:rFonts w:ascii="Times New Roman" w:eastAsia="Times New Roman" w:hAnsi="Times New Roman" w:cs="Times New Roman"/>
          <w:sz w:val="25"/>
          <w:szCs w:val="25"/>
        </w:rPr>
      </w:pPr>
      <w:r w:rsidRPr="00A44A0B">
        <w:rPr>
          <w:rFonts w:ascii="Times New Roman" w:eastAsia="Times New Roman" w:hAnsi="Times New Roman" w:cs="Times New Roman"/>
          <w:b/>
          <w:bCs/>
          <w:sz w:val="25"/>
          <w:szCs w:val="25"/>
        </w:rPr>
        <w:t>(Revised 2012)</w:t>
      </w:r>
    </w:p>
    <w:p w:rsidR="00A44A0B" w:rsidRPr="00A44A0B" w:rsidRDefault="00A44A0B" w:rsidP="00A44A0B">
      <w:pPr>
        <w:spacing w:after="300" w:line="240" w:lineRule="auto"/>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The Family and Medical Leave Act (FMLA) entitles eligible employees of covered employers to take unpaid, job-protected leave for specified family and medical reasons. This fact sheet provides general information about which employers are covered by the FMLA, when employees are eligible and entitled to take FMLA leave, and what rules apply when employees take FMLA leave.</w:t>
      </w:r>
    </w:p>
    <w:p w:rsidR="00A44A0B" w:rsidRPr="00A44A0B" w:rsidRDefault="00A44A0B" w:rsidP="00A44A0B">
      <w:pPr>
        <w:spacing w:after="300" w:line="240" w:lineRule="auto"/>
        <w:rPr>
          <w:rFonts w:ascii="Times New Roman" w:eastAsia="Times New Roman" w:hAnsi="Times New Roman" w:cs="Times New Roman"/>
          <w:sz w:val="25"/>
          <w:szCs w:val="25"/>
        </w:rPr>
      </w:pPr>
      <w:r w:rsidRPr="00A44A0B">
        <w:rPr>
          <w:rFonts w:ascii="Times New Roman" w:eastAsia="Times New Roman" w:hAnsi="Times New Roman" w:cs="Times New Roman"/>
          <w:b/>
          <w:bCs/>
          <w:sz w:val="25"/>
          <w:szCs w:val="25"/>
        </w:rPr>
        <w:t>COVERED EMPLOYERS</w:t>
      </w:r>
    </w:p>
    <w:p w:rsidR="00A44A0B" w:rsidRPr="00A44A0B" w:rsidRDefault="00A44A0B" w:rsidP="00A44A0B">
      <w:pPr>
        <w:spacing w:after="300" w:line="240" w:lineRule="auto"/>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The FMLA only applies to employers that meet certain criteria. A </w:t>
      </w:r>
      <w:r w:rsidRPr="00A44A0B">
        <w:rPr>
          <w:rFonts w:ascii="Times New Roman" w:eastAsia="Times New Roman" w:hAnsi="Times New Roman" w:cs="Times New Roman"/>
          <w:b/>
          <w:bCs/>
          <w:sz w:val="25"/>
          <w:szCs w:val="25"/>
        </w:rPr>
        <w:t>covered employer</w:t>
      </w:r>
      <w:r w:rsidRPr="00A44A0B">
        <w:rPr>
          <w:rFonts w:ascii="Times New Roman" w:eastAsia="Times New Roman" w:hAnsi="Times New Roman" w:cs="Times New Roman"/>
          <w:sz w:val="25"/>
          <w:szCs w:val="25"/>
        </w:rPr>
        <w:t> is a:</w:t>
      </w:r>
    </w:p>
    <w:p w:rsidR="00A44A0B" w:rsidRPr="00A44A0B" w:rsidRDefault="00A44A0B" w:rsidP="00A44A0B">
      <w:pPr>
        <w:numPr>
          <w:ilvl w:val="0"/>
          <w:numId w:val="1"/>
        </w:numPr>
        <w:spacing w:after="60" w:line="240" w:lineRule="auto"/>
        <w:ind w:left="63"/>
        <w:textAlignment w:val="top"/>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Private-sector employer, with 50 or more employees in 20 or more workweeks in the current or preceding calendar year, including a joint employer or successor in interest to a covered employer;</w:t>
      </w:r>
    </w:p>
    <w:p w:rsidR="00A44A0B" w:rsidRPr="00A44A0B" w:rsidRDefault="00A44A0B" w:rsidP="00A44A0B">
      <w:pPr>
        <w:numPr>
          <w:ilvl w:val="0"/>
          <w:numId w:val="1"/>
        </w:numPr>
        <w:spacing w:after="60" w:line="240" w:lineRule="auto"/>
        <w:ind w:left="63"/>
        <w:textAlignment w:val="top"/>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Public agency, including a local, state, or Federal government agency, regardless of the number of employees it employs; or</w:t>
      </w:r>
    </w:p>
    <w:p w:rsidR="00A44A0B" w:rsidRPr="00A44A0B" w:rsidRDefault="00A44A0B" w:rsidP="00A44A0B">
      <w:pPr>
        <w:numPr>
          <w:ilvl w:val="0"/>
          <w:numId w:val="1"/>
        </w:numPr>
        <w:spacing w:after="0" w:line="240" w:lineRule="auto"/>
        <w:ind w:left="63"/>
        <w:textAlignment w:val="top"/>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Public or private elementary or secondary school, regardless of the number of employees it employs.</w:t>
      </w:r>
    </w:p>
    <w:p w:rsidR="00A44A0B" w:rsidRPr="00A44A0B" w:rsidRDefault="00A44A0B" w:rsidP="00A44A0B">
      <w:pPr>
        <w:spacing w:after="300" w:line="240" w:lineRule="auto"/>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 </w:t>
      </w:r>
    </w:p>
    <w:p w:rsidR="00A44A0B" w:rsidRPr="00A44A0B" w:rsidRDefault="00A44A0B" w:rsidP="00A44A0B">
      <w:pPr>
        <w:spacing w:after="300" w:line="240" w:lineRule="auto"/>
        <w:rPr>
          <w:rFonts w:ascii="Times New Roman" w:eastAsia="Times New Roman" w:hAnsi="Times New Roman" w:cs="Times New Roman"/>
          <w:sz w:val="25"/>
          <w:szCs w:val="25"/>
        </w:rPr>
      </w:pPr>
      <w:r w:rsidRPr="00A44A0B">
        <w:rPr>
          <w:rFonts w:ascii="Times New Roman" w:eastAsia="Times New Roman" w:hAnsi="Times New Roman" w:cs="Times New Roman"/>
          <w:b/>
          <w:bCs/>
          <w:sz w:val="25"/>
          <w:szCs w:val="25"/>
        </w:rPr>
        <w:t>ELIGIBLE EMPLOYEES</w:t>
      </w:r>
    </w:p>
    <w:p w:rsidR="00A44A0B" w:rsidRPr="00A44A0B" w:rsidRDefault="00A44A0B" w:rsidP="00A44A0B">
      <w:pPr>
        <w:spacing w:after="300" w:line="240" w:lineRule="auto"/>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Only eligible employees are entitled to take FMLA leave. An </w:t>
      </w:r>
      <w:r w:rsidRPr="00A44A0B">
        <w:rPr>
          <w:rFonts w:ascii="Times New Roman" w:eastAsia="Times New Roman" w:hAnsi="Times New Roman" w:cs="Times New Roman"/>
          <w:b/>
          <w:bCs/>
          <w:sz w:val="25"/>
          <w:szCs w:val="25"/>
        </w:rPr>
        <w:t>eligible employee</w:t>
      </w:r>
      <w:r w:rsidRPr="00A44A0B">
        <w:rPr>
          <w:rFonts w:ascii="Times New Roman" w:eastAsia="Times New Roman" w:hAnsi="Times New Roman" w:cs="Times New Roman"/>
          <w:sz w:val="25"/>
          <w:szCs w:val="25"/>
        </w:rPr>
        <w:t> is one who:</w:t>
      </w:r>
    </w:p>
    <w:p w:rsidR="00A44A0B" w:rsidRPr="00A44A0B" w:rsidRDefault="00A44A0B" w:rsidP="00A44A0B">
      <w:pPr>
        <w:numPr>
          <w:ilvl w:val="0"/>
          <w:numId w:val="2"/>
        </w:numPr>
        <w:spacing w:after="60" w:line="240" w:lineRule="auto"/>
        <w:ind w:left="63"/>
        <w:textAlignment w:val="top"/>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Works for a </w:t>
      </w:r>
      <w:r w:rsidRPr="00A44A0B">
        <w:rPr>
          <w:rFonts w:ascii="Times New Roman" w:eastAsia="Times New Roman" w:hAnsi="Times New Roman" w:cs="Times New Roman"/>
          <w:i/>
          <w:iCs/>
          <w:sz w:val="25"/>
          <w:szCs w:val="25"/>
        </w:rPr>
        <w:t>covered employer</w:t>
      </w:r>
      <w:r w:rsidRPr="00A44A0B">
        <w:rPr>
          <w:rFonts w:ascii="Times New Roman" w:eastAsia="Times New Roman" w:hAnsi="Times New Roman" w:cs="Times New Roman"/>
          <w:sz w:val="25"/>
          <w:szCs w:val="25"/>
        </w:rPr>
        <w:t>;</w:t>
      </w:r>
    </w:p>
    <w:p w:rsidR="00A44A0B" w:rsidRPr="00A44A0B" w:rsidRDefault="00A44A0B" w:rsidP="00A44A0B">
      <w:pPr>
        <w:numPr>
          <w:ilvl w:val="0"/>
          <w:numId w:val="2"/>
        </w:numPr>
        <w:spacing w:after="60" w:line="240" w:lineRule="auto"/>
        <w:ind w:left="63"/>
        <w:textAlignment w:val="top"/>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Has worked for the employer for at least </w:t>
      </w:r>
      <w:r w:rsidRPr="00A44A0B">
        <w:rPr>
          <w:rFonts w:ascii="Times New Roman" w:eastAsia="Times New Roman" w:hAnsi="Times New Roman" w:cs="Times New Roman"/>
          <w:i/>
          <w:iCs/>
          <w:sz w:val="25"/>
          <w:szCs w:val="25"/>
        </w:rPr>
        <w:t>12 months</w:t>
      </w:r>
      <w:r w:rsidRPr="00A44A0B">
        <w:rPr>
          <w:rFonts w:ascii="Times New Roman" w:eastAsia="Times New Roman" w:hAnsi="Times New Roman" w:cs="Times New Roman"/>
          <w:sz w:val="25"/>
          <w:szCs w:val="25"/>
        </w:rPr>
        <w:t>;</w:t>
      </w:r>
    </w:p>
    <w:p w:rsidR="00A44A0B" w:rsidRPr="00A44A0B" w:rsidRDefault="00A44A0B" w:rsidP="00A44A0B">
      <w:pPr>
        <w:numPr>
          <w:ilvl w:val="0"/>
          <w:numId w:val="2"/>
        </w:numPr>
        <w:spacing w:after="60" w:line="240" w:lineRule="auto"/>
        <w:ind w:left="63"/>
        <w:textAlignment w:val="top"/>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Has at least </w:t>
      </w:r>
      <w:r w:rsidRPr="00A44A0B">
        <w:rPr>
          <w:rFonts w:ascii="Times New Roman" w:eastAsia="Times New Roman" w:hAnsi="Times New Roman" w:cs="Times New Roman"/>
          <w:i/>
          <w:iCs/>
          <w:sz w:val="25"/>
          <w:szCs w:val="25"/>
        </w:rPr>
        <w:t>1,250 hours of service</w:t>
      </w:r>
      <w:r w:rsidRPr="00A44A0B">
        <w:rPr>
          <w:rFonts w:ascii="Times New Roman" w:eastAsia="Times New Roman" w:hAnsi="Times New Roman" w:cs="Times New Roman"/>
          <w:sz w:val="25"/>
          <w:szCs w:val="25"/>
        </w:rPr>
        <w:t> for the employer during the 12 month period immediately preceding the leave</w:t>
      </w:r>
      <w:hyperlink r:id="rId5" w:anchor="SpecialHour" w:history="1">
        <w:r w:rsidRPr="00A44A0B">
          <w:rPr>
            <w:rFonts w:ascii="Times New Roman" w:eastAsia="Times New Roman" w:hAnsi="Times New Roman" w:cs="Times New Roman"/>
            <w:color w:val="981B1E"/>
            <w:sz w:val="19"/>
            <w:szCs w:val="19"/>
            <w:u w:val="single"/>
            <w:vertAlign w:val="superscript"/>
          </w:rPr>
          <w:t>*</w:t>
        </w:r>
      </w:hyperlink>
      <w:r w:rsidRPr="00A44A0B">
        <w:rPr>
          <w:rFonts w:ascii="Times New Roman" w:eastAsia="Times New Roman" w:hAnsi="Times New Roman" w:cs="Times New Roman"/>
          <w:sz w:val="25"/>
          <w:szCs w:val="25"/>
        </w:rPr>
        <w:t>; and</w:t>
      </w:r>
    </w:p>
    <w:p w:rsidR="00A44A0B" w:rsidRPr="00A44A0B" w:rsidRDefault="00A44A0B" w:rsidP="00A44A0B">
      <w:pPr>
        <w:numPr>
          <w:ilvl w:val="0"/>
          <w:numId w:val="2"/>
        </w:numPr>
        <w:spacing w:after="0" w:line="240" w:lineRule="auto"/>
        <w:ind w:left="63"/>
        <w:textAlignment w:val="top"/>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Works at a location where the employer has at least </w:t>
      </w:r>
      <w:r w:rsidRPr="00A44A0B">
        <w:rPr>
          <w:rFonts w:ascii="Times New Roman" w:eastAsia="Times New Roman" w:hAnsi="Times New Roman" w:cs="Times New Roman"/>
          <w:i/>
          <w:iCs/>
          <w:sz w:val="25"/>
          <w:szCs w:val="25"/>
        </w:rPr>
        <w:t>50 employees within 75 miles</w:t>
      </w:r>
      <w:r w:rsidRPr="00A44A0B">
        <w:rPr>
          <w:rFonts w:ascii="Times New Roman" w:eastAsia="Times New Roman" w:hAnsi="Times New Roman" w:cs="Times New Roman"/>
          <w:sz w:val="25"/>
          <w:szCs w:val="25"/>
        </w:rPr>
        <w:t>.</w:t>
      </w:r>
    </w:p>
    <w:p w:rsidR="00A44A0B" w:rsidRPr="00A44A0B" w:rsidRDefault="00A44A0B" w:rsidP="00A44A0B">
      <w:pPr>
        <w:spacing w:after="300" w:line="240" w:lineRule="auto"/>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 </w:t>
      </w:r>
    </w:p>
    <w:p w:rsidR="00A44A0B" w:rsidRPr="00A44A0B" w:rsidRDefault="00A44A0B" w:rsidP="00A44A0B">
      <w:pPr>
        <w:spacing w:after="300" w:line="240" w:lineRule="auto"/>
        <w:rPr>
          <w:rFonts w:ascii="Times New Roman" w:eastAsia="Times New Roman" w:hAnsi="Times New Roman" w:cs="Times New Roman"/>
          <w:sz w:val="25"/>
          <w:szCs w:val="25"/>
        </w:rPr>
      </w:pPr>
      <w:bookmarkStart w:id="0" w:name="SpecialHour"/>
      <w:r w:rsidRPr="00A44A0B">
        <w:rPr>
          <w:rFonts w:ascii="Times New Roman" w:eastAsia="Times New Roman" w:hAnsi="Times New Roman" w:cs="Times New Roman"/>
          <w:sz w:val="25"/>
          <w:szCs w:val="25"/>
        </w:rPr>
        <w:t>*</w:t>
      </w:r>
      <w:bookmarkEnd w:id="0"/>
      <w:r w:rsidRPr="00A44A0B">
        <w:rPr>
          <w:rFonts w:ascii="Times New Roman" w:eastAsia="Times New Roman" w:hAnsi="Times New Roman" w:cs="Times New Roman"/>
          <w:sz w:val="25"/>
          <w:szCs w:val="25"/>
        </w:rPr>
        <w:t> Special hours of service eligibility requirements apply to airline flight crew employees. </w:t>
      </w:r>
      <w:r w:rsidRPr="00A44A0B">
        <w:rPr>
          <w:rFonts w:ascii="Times New Roman" w:eastAsia="Times New Roman" w:hAnsi="Times New Roman" w:cs="Times New Roman"/>
          <w:i/>
          <w:iCs/>
          <w:sz w:val="25"/>
          <w:szCs w:val="25"/>
        </w:rPr>
        <w:t>See</w:t>
      </w:r>
      <w:r w:rsidRPr="00A44A0B">
        <w:rPr>
          <w:rFonts w:ascii="Times New Roman" w:eastAsia="Times New Roman" w:hAnsi="Times New Roman" w:cs="Times New Roman"/>
          <w:sz w:val="25"/>
          <w:szCs w:val="25"/>
        </w:rPr>
        <w:t> </w:t>
      </w:r>
      <w:hyperlink r:id="rId6" w:history="1">
        <w:r w:rsidRPr="00A44A0B">
          <w:rPr>
            <w:rFonts w:ascii="Times New Roman" w:eastAsia="Times New Roman" w:hAnsi="Times New Roman" w:cs="Times New Roman"/>
            <w:color w:val="981B1E"/>
            <w:sz w:val="25"/>
            <w:szCs w:val="25"/>
            <w:u w:val="single"/>
          </w:rPr>
          <w:t>Fact Sheet 28J: Special Rules for Airline Flight Crew Employees under the Family and Medical Leave Act</w:t>
        </w:r>
      </w:hyperlink>
      <w:r w:rsidRPr="00A44A0B">
        <w:rPr>
          <w:rFonts w:ascii="Times New Roman" w:eastAsia="Times New Roman" w:hAnsi="Times New Roman" w:cs="Times New Roman"/>
          <w:sz w:val="25"/>
          <w:szCs w:val="25"/>
        </w:rPr>
        <w:t>.</w:t>
      </w:r>
    </w:p>
    <w:p w:rsidR="00A44A0B" w:rsidRPr="00A44A0B" w:rsidRDefault="00A44A0B" w:rsidP="00A44A0B">
      <w:pPr>
        <w:spacing w:after="300" w:line="240" w:lineRule="auto"/>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The 12 months of employment do not have to be consecutive. That means any time previously worked for the same employer (including seasonal work) could, in most cases, be used to meet the 12-month requirement. If the employee has a break in service that lasted seven years or more, the time worked prior to the break will not count </w:t>
      </w:r>
      <w:r w:rsidRPr="00A44A0B">
        <w:rPr>
          <w:rFonts w:ascii="Times New Roman" w:eastAsia="Times New Roman" w:hAnsi="Times New Roman" w:cs="Times New Roman"/>
          <w:i/>
          <w:iCs/>
          <w:sz w:val="25"/>
          <w:szCs w:val="25"/>
        </w:rPr>
        <w:t>unless</w:t>
      </w:r>
      <w:r w:rsidRPr="00A44A0B">
        <w:rPr>
          <w:rFonts w:ascii="Times New Roman" w:eastAsia="Times New Roman" w:hAnsi="Times New Roman" w:cs="Times New Roman"/>
          <w:sz w:val="25"/>
          <w:szCs w:val="25"/>
        </w:rPr>
        <w:t> the break is due to service covered by the Uniformed Services Employment and Reemployment Rights Act (USERRA), or there is a written agreement, including a collective bargaining agreement, outlining the employer’s intention to rehire the employee after the break in service. </w:t>
      </w:r>
      <w:r w:rsidRPr="00A44A0B">
        <w:rPr>
          <w:rFonts w:ascii="Times New Roman" w:eastAsia="Times New Roman" w:hAnsi="Times New Roman" w:cs="Times New Roman"/>
          <w:i/>
          <w:iCs/>
          <w:sz w:val="25"/>
          <w:szCs w:val="25"/>
        </w:rPr>
        <w:t>See</w:t>
      </w:r>
      <w:r w:rsidRPr="00A44A0B">
        <w:rPr>
          <w:rFonts w:ascii="Times New Roman" w:eastAsia="Times New Roman" w:hAnsi="Times New Roman" w:cs="Times New Roman"/>
          <w:sz w:val="25"/>
          <w:szCs w:val="25"/>
        </w:rPr>
        <w:t> </w:t>
      </w:r>
      <w:hyperlink r:id="rId7" w:history="1">
        <w:r w:rsidRPr="00A44A0B">
          <w:rPr>
            <w:rFonts w:ascii="Times New Roman" w:eastAsia="Times New Roman" w:hAnsi="Times New Roman" w:cs="Times New Roman"/>
            <w:color w:val="981B1E"/>
            <w:sz w:val="25"/>
            <w:szCs w:val="25"/>
            <w:u w:val="single"/>
          </w:rPr>
          <w:t>"FMLA Special Rules for Returning Reservists"</w:t>
        </w:r>
      </w:hyperlink>
      <w:r w:rsidRPr="00A44A0B">
        <w:rPr>
          <w:rFonts w:ascii="Times New Roman" w:eastAsia="Times New Roman" w:hAnsi="Times New Roman" w:cs="Times New Roman"/>
          <w:sz w:val="25"/>
          <w:szCs w:val="25"/>
        </w:rPr>
        <w:t>.</w:t>
      </w:r>
    </w:p>
    <w:p w:rsidR="00A44A0B" w:rsidRPr="00A44A0B" w:rsidRDefault="00A44A0B" w:rsidP="00A44A0B">
      <w:pPr>
        <w:spacing w:after="300" w:line="240" w:lineRule="auto"/>
        <w:rPr>
          <w:rFonts w:ascii="Times New Roman" w:eastAsia="Times New Roman" w:hAnsi="Times New Roman" w:cs="Times New Roman"/>
          <w:sz w:val="25"/>
          <w:szCs w:val="25"/>
        </w:rPr>
      </w:pPr>
      <w:r w:rsidRPr="00A44A0B">
        <w:rPr>
          <w:rFonts w:ascii="Times New Roman" w:eastAsia="Times New Roman" w:hAnsi="Times New Roman" w:cs="Times New Roman"/>
          <w:b/>
          <w:bCs/>
          <w:sz w:val="25"/>
          <w:szCs w:val="25"/>
        </w:rPr>
        <w:t>LEAVE ENTITLEMENT</w:t>
      </w:r>
    </w:p>
    <w:p w:rsidR="00A44A0B" w:rsidRPr="00A44A0B" w:rsidRDefault="00A44A0B" w:rsidP="00A44A0B">
      <w:pPr>
        <w:spacing w:after="300" w:line="240" w:lineRule="auto"/>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Eligible employees may take up to </w:t>
      </w:r>
      <w:r w:rsidRPr="00A44A0B">
        <w:rPr>
          <w:rFonts w:ascii="Times New Roman" w:eastAsia="Times New Roman" w:hAnsi="Times New Roman" w:cs="Times New Roman"/>
          <w:b/>
          <w:bCs/>
          <w:sz w:val="25"/>
          <w:szCs w:val="25"/>
        </w:rPr>
        <w:t>12 work</w:t>
      </w:r>
      <w:r w:rsidR="00F542E7">
        <w:rPr>
          <w:rFonts w:ascii="Times New Roman" w:eastAsia="Times New Roman" w:hAnsi="Times New Roman" w:cs="Times New Roman"/>
          <w:b/>
          <w:bCs/>
          <w:sz w:val="25"/>
          <w:szCs w:val="25"/>
        </w:rPr>
        <w:t xml:space="preserve"> </w:t>
      </w:r>
      <w:r w:rsidRPr="00A44A0B">
        <w:rPr>
          <w:rFonts w:ascii="Times New Roman" w:eastAsia="Times New Roman" w:hAnsi="Times New Roman" w:cs="Times New Roman"/>
          <w:b/>
          <w:bCs/>
          <w:sz w:val="25"/>
          <w:szCs w:val="25"/>
        </w:rPr>
        <w:t>weeks</w:t>
      </w:r>
      <w:r w:rsidRPr="00A44A0B">
        <w:rPr>
          <w:rFonts w:ascii="Times New Roman" w:eastAsia="Times New Roman" w:hAnsi="Times New Roman" w:cs="Times New Roman"/>
          <w:sz w:val="25"/>
          <w:szCs w:val="25"/>
        </w:rPr>
        <w:t> of leave in a 12-month period for one or more of the following reasons:</w:t>
      </w:r>
    </w:p>
    <w:p w:rsidR="00A44A0B" w:rsidRPr="00A44A0B" w:rsidRDefault="00A44A0B" w:rsidP="00A44A0B">
      <w:pPr>
        <w:numPr>
          <w:ilvl w:val="0"/>
          <w:numId w:val="3"/>
        </w:numPr>
        <w:spacing w:after="60" w:line="240" w:lineRule="auto"/>
        <w:ind w:left="63"/>
        <w:textAlignment w:val="top"/>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lastRenderedPageBreak/>
        <w:t>The birth of a son or daughter or placement of a son or daughter with the employee for adoption or foster care;</w:t>
      </w:r>
    </w:p>
    <w:p w:rsidR="00A44A0B" w:rsidRPr="00A44A0B" w:rsidRDefault="00A44A0B" w:rsidP="00A44A0B">
      <w:pPr>
        <w:numPr>
          <w:ilvl w:val="0"/>
          <w:numId w:val="3"/>
        </w:numPr>
        <w:spacing w:after="60" w:line="240" w:lineRule="auto"/>
        <w:ind w:left="63"/>
        <w:textAlignment w:val="top"/>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To care for a spouse, son, daughter, or parent who has a serious health condition;</w:t>
      </w:r>
    </w:p>
    <w:p w:rsidR="00A44A0B" w:rsidRPr="00A44A0B" w:rsidRDefault="00A44A0B" w:rsidP="00A44A0B">
      <w:pPr>
        <w:numPr>
          <w:ilvl w:val="0"/>
          <w:numId w:val="3"/>
        </w:numPr>
        <w:spacing w:after="60" w:line="240" w:lineRule="auto"/>
        <w:ind w:left="63"/>
        <w:textAlignment w:val="top"/>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For a serious health condition that makes the employee unable to perform the essential functions of his or her job; or</w:t>
      </w:r>
    </w:p>
    <w:p w:rsidR="00A44A0B" w:rsidRPr="00A44A0B" w:rsidRDefault="00A44A0B" w:rsidP="00A44A0B">
      <w:pPr>
        <w:numPr>
          <w:ilvl w:val="0"/>
          <w:numId w:val="3"/>
        </w:numPr>
        <w:spacing w:after="0" w:line="240" w:lineRule="auto"/>
        <w:ind w:left="63"/>
        <w:textAlignment w:val="top"/>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For any qualifying exigency arising out of the fact that a spouse, son, daughter, or parent is a military member on covered active duty or call to covered active duty status.</w:t>
      </w:r>
    </w:p>
    <w:p w:rsidR="00A44A0B" w:rsidRPr="00A44A0B" w:rsidRDefault="00A44A0B" w:rsidP="00A44A0B">
      <w:pPr>
        <w:spacing w:after="300" w:line="240" w:lineRule="auto"/>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 </w:t>
      </w:r>
    </w:p>
    <w:p w:rsidR="00A44A0B" w:rsidRPr="00A44A0B" w:rsidRDefault="00A44A0B" w:rsidP="00A44A0B">
      <w:pPr>
        <w:spacing w:after="300" w:line="240" w:lineRule="auto"/>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An eligible employee may also take up to </w:t>
      </w:r>
      <w:r w:rsidRPr="00A44A0B">
        <w:rPr>
          <w:rFonts w:ascii="Times New Roman" w:eastAsia="Times New Roman" w:hAnsi="Times New Roman" w:cs="Times New Roman"/>
          <w:b/>
          <w:bCs/>
          <w:sz w:val="25"/>
          <w:szCs w:val="25"/>
        </w:rPr>
        <w:t>26 workweeks</w:t>
      </w:r>
      <w:r w:rsidRPr="00A44A0B">
        <w:rPr>
          <w:rFonts w:ascii="Times New Roman" w:eastAsia="Times New Roman" w:hAnsi="Times New Roman" w:cs="Times New Roman"/>
          <w:sz w:val="25"/>
          <w:szCs w:val="25"/>
        </w:rPr>
        <w:t> of leave during a "single 12-month period" to care for a covered service</w:t>
      </w:r>
      <w:r w:rsidR="004217F0">
        <w:rPr>
          <w:rFonts w:ascii="Times New Roman" w:eastAsia="Times New Roman" w:hAnsi="Times New Roman" w:cs="Times New Roman"/>
          <w:sz w:val="25"/>
          <w:szCs w:val="25"/>
        </w:rPr>
        <w:t xml:space="preserve"> </w:t>
      </w:r>
      <w:r w:rsidRPr="00A44A0B">
        <w:rPr>
          <w:rFonts w:ascii="Times New Roman" w:eastAsia="Times New Roman" w:hAnsi="Times New Roman" w:cs="Times New Roman"/>
          <w:sz w:val="25"/>
          <w:szCs w:val="25"/>
        </w:rPr>
        <w:t>member with a serious injury or illness, when the employee is the spouse, son, daughter, parent, or next of kin of the service</w:t>
      </w:r>
      <w:r w:rsidR="004217F0">
        <w:rPr>
          <w:rFonts w:ascii="Times New Roman" w:eastAsia="Times New Roman" w:hAnsi="Times New Roman" w:cs="Times New Roman"/>
          <w:sz w:val="25"/>
          <w:szCs w:val="25"/>
        </w:rPr>
        <w:t xml:space="preserve"> </w:t>
      </w:r>
      <w:r w:rsidRPr="00A44A0B">
        <w:rPr>
          <w:rFonts w:ascii="Times New Roman" w:eastAsia="Times New Roman" w:hAnsi="Times New Roman" w:cs="Times New Roman"/>
          <w:sz w:val="25"/>
          <w:szCs w:val="25"/>
        </w:rPr>
        <w:t>member. The "single 12-month period" for military caregiver leave is different from the 12-month period used for other FMLA leave reasons. </w:t>
      </w:r>
      <w:r w:rsidRPr="00A44A0B">
        <w:rPr>
          <w:rFonts w:ascii="Times New Roman" w:eastAsia="Times New Roman" w:hAnsi="Times New Roman" w:cs="Times New Roman"/>
          <w:i/>
          <w:iCs/>
          <w:sz w:val="25"/>
          <w:szCs w:val="25"/>
        </w:rPr>
        <w:t>See</w:t>
      </w:r>
      <w:r w:rsidRPr="00A44A0B">
        <w:rPr>
          <w:rFonts w:ascii="Times New Roman" w:eastAsia="Times New Roman" w:hAnsi="Times New Roman" w:cs="Times New Roman"/>
          <w:sz w:val="25"/>
          <w:szCs w:val="25"/>
        </w:rPr>
        <w:t> </w:t>
      </w:r>
      <w:hyperlink r:id="rId8" w:history="1">
        <w:r w:rsidRPr="00A44A0B">
          <w:rPr>
            <w:rFonts w:ascii="Times New Roman" w:eastAsia="Times New Roman" w:hAnsi="Times New Roman" w:cs="Times New Roman"/>
            <w:color w:val="981B1E"/>
            <w:sz w:val="25"/>
            <w:szCs w:val="25"/>
            <w:u w:val="single"/>
          </w:rPr>
          <w:t>Fact Sheets 28F: Qualifying Reasons under the FMLA</w:t>
        </w:r>
      </w:hyperlink>
      <w:r w:rsidRPr="00A44A0B">
        <w:rPr>
          <w:rFonts w:ascii="Times New Roman" w:eastAsia="Times New Roman" w:hAnsi="Times New Roman" w:cs="Times New Roman"/>
          <w:sz w:val="25"/>
          <w:szCs w:val="25"/>
        </w:rPr>
        <w:t> and </w:t>
      </w:r>
      <w:hyperlink r:id="rId9" w:history="1">
        <w:r w:rsidRPr="00A44A0B">
          <w:rPr>
            <w:rFonts w:ascii="Times New Roman" w:eastAsia="Times New Roman" w:hAnsi="Times New Roman" w:cs="Times New Roman"/>
            <w:color w:val="981B1E"/>
            <w:sz w:val="25"/>
            <w:szCs w:val="25"/>
            <w:u w:val="single"/>
          </w:rPr>
          <w:t>28M: The Military Family Leave Provisions under the FMLA</w:t>
        </w:r>
      </w:hyperlink>
      <w:r w:rsidRPr="00A44A0B">
        <w:rPr>
          <w:rFonts w:ascii="Times New Roman" w:eastAsia="Times New Roman" w:hAnsi="Times New Roman" w:cs="Times New Roman"/>
          <w:sz w:val="25"/>
          <w:szCs w:val="25"/>
        </w:rPr>
        <w:t>.</w:t>
      </w:r>
    </w:p>
    <w:p w:rsidR="00A44A0B" w:rsidRPr="00A44A0B" w:rsidRDefault="00A44A0B" w:rsidP="00A44A0B">
      <w:pPr>
        <w:spacing w:after="300" w:line="240" w:lineRule="auto"/>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Under some circumstances, employees may take FMLA leave on an intermittent or reduced schedule basis. That means an employee may take leave in separate blocks of time or by reducing the time he or she works each day or week for a single qualifying reason. When leave is needed for planned medical treatment, the employee must make a reasonable effort to schedule treatment so as not to unduly disrupt the employer's operations. If FMLA leave is for the birth, adoption, or foster placement of a child, use of intermittent or reduced schedule leave requires the employer’s approval.</w:t>
      </w:r>
    </w:p>
    <w:p w:rsidR="00A44A0B" w:rsidRPr="00A44A0B" w:rsidRDefault="00A44A0B" w:rsidP="00A44A0B">
      <w:pPr>
        <w:spacing w:after="300" w:line="240" w:lineRule="auto"/>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Under certain conditions, employees may choose, or employers may require employees, to "substitute" (run concurrently) accrued paid leave, such as sick or vacation leave, to cover some or all of the FMLA leave period. An employee’s ability to substitute accrued paid leave is determined by the terms and conditions of the employer's normal leave policy.</w:t>
      </w:r>
    </w:p>
    <w:p w:rsidR="00A44A0B" w:rsidRPr="00A44A0B" w:rsidRDefault="00A44A0B" w:rsidP="00A44A0B">
      <w:pPr>
        <w:spacing w:after="300" w:line="240" w:lineRule="auto"/>
        <w:rPr>
          <w:rFonts w:ascii="Times New Roman" w:eastAsia="Times New Roman" w:hAnsi="Times New Roman" w:cs="Times New Roman"/>
          <w:sz w:val="25"/>
          <w:szCs w:val="25"/>
        </w:rPr>
      </w:pPr>
      <w:r w:rsidRPr="00A44A0B">
        <w:rPr>
          <w:rFonts w:ascii="Times New Roman" w:eastAsia="Times New Roman" w:hAnsi="Times New Roman" w:cs="Times New Roman"/>
          <w:b/>
          <w:bCs/>
          <w:sz w:val="25"/>
          <w:szCs w:val="25"/>
        </w:rPr>
        <w:t>NOTICE</w:t>
      </w:r>
    </w:p>
    <w:p w:rsidR="00A44A0B" w:rsidRPr="00A44A0B" w:rsidRDefault="00A44A0B" w:rsidP="00A44A0B">
      <w:pPr>
        <w:spacing w:after="300" w:line="240" w:lineRule="auto"/>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Employees must comply with their employer’s usual and customary requirements for requesting leave and provide enough information for their employer to reasonably determine whether the FMLA may apply to the leave request. Employees generally must request leave 30 days in advance when the need for leave is foreseeable. When the need for leave is foreseeable less than 30 days in advance or is unforeseeable, employees must provide notice as soon as possible and practicable under the circumstances.</w:t>
      </w:r>
    </w:p>
    <w:p w:rsidR="00A44A0B" w:rsidRPr="00A44A0B" w:rsidRDefault="00A44A0B" w:rsidP="00A44A0B">
      <w:pPr>
        <w:spacing w:after="300" w:line="240" w:lineRule="auto"/>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When an employee seeks leave for a FMLA-qualifying reason for the first time, the employee need not expressly assert FMLA rights or even mention the FMLA. If an employee later requests additional leave for the same qualifying condition, the employee must specifically reference either the qualifying reason for leave or the need for FMLA leave. </w:t>
      </w:r>
      <w:r w:rsidRPr="00A44A0B">
        <w:rPr>
          <w:rFonts w:ascii="Times New Roman" w:eastAsia="Times New Roman" w:hAnsi="Times New Roman" w:cs="Times New Roman"/>
          <w:i/>
          <w:iCs/>
          <w:sz w:val="25"/>
          <w:szCs w:val="25"/>
        </w:rPr>
        <w:t>See</w:t>
      </w:r>
      <w:r w:rsidRPr="00A44A0B">
        <w:rPr>
          <w:rFonts w:ascii="Times New Roman" w:eastAsia="Times New Roman" w:hAnsi="Times New Roman" w:cs="Times New Roman"/>
          <w:sz w:val="25"/>
          <w:szCs w:val="25"/>
        </w:rPr>
        <w:t xml:space="preserve"> Fact Sheet 28E: Employee Notice Requirements under the </w:t>
      </w:r>
      <w:proofErr w:type="gramStart"/>
      <w:r w:rsidRPr="00A44A0B">
        <w:rPr>
          <w:rFonts w:ascii="Times New Roman" w:eastAsia="Times New Roman" w:hAnsi="Times New Roman" w:cs="Times New Roman"/>
          <w:sz w:val="25"/>
          <w:szCs w:val="25"/>
        </w:rPr>
        <w:t>FMLA .</w:t>
      </w:r>
      <w:proofErr w:type="gramEnd"/>
    </w:p>
    <w:p w:rsidR="00A44A0B" w:rsidRPr="00A44A0B" w:rsidRDefault="00A44A0B" w:rsidP="00A44A0B">
      <w:pPr>
        <w:spacing w:after="300" w:line="240" w:lineRule="auto"/>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Covered employers must:</w:t>
      </w:r>
    </w:p>
    <w:p w:rsidR="00A44A0B" w:rsidRPr="00A44A0B" w:rsidRDefault="00A44A0B" w:rsidP="00A44A0B">
      <w:pPr>
        <w:numPr>
          <w:ilvl w:val="0"/>
          <w:numId w:val="4"/>
        </w:numPr>
        <w:spacing w:after="60" w:line="240" w:lineRule="auto"/>
        <w:ind w:left="63"/>
        <w:textAlignment w:val="top"/>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(1) Post a notice explaining rights and responsibilities under the FMLA (and may be subject to a civil money penalty of up to $110 for willful failure to post);</w:t>
      </w:r>
    </w:p>
    <w:p w:rsidR="00A44A0B" w:rsidRPr="00A44A0B" w:rsidRDefault="00A44A0B" w:rsidP="00A44A0B">
      <w:pPr>
        <w:numPr>
          <w:ilvl w:val="0"/>
          <w:numId w:val="4"/>
        </w:numPr>
        <w:spacing w:after="60" w:line="240" w:lineRule="auto"/>
        <w:ind w:left="63"/>
        <w:textAlignment w:val="top"/>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(2) Include information about the FMLA in their employee handbooks or provide information to new employees upon hire;</w:t>
      </w:r>
    </w:p>
    <w:p w:rsidR="00A44A0B" w:rsidRPr="00A44A0B" w:rsidRDefault="00A44A0B" w:rsidP="00A44A0B">
      <w:pPr>
        <w:numPr>
          <w:ilvl w:val="0"/>
          <w:numId w:val="4"/>
        </w:numPr>
        <w:spacing w:after="60" w:line="240" w:lineRule="auto"/>
        <w:ind w:left="63"/>
        <w:textAlignment w:val="top"/>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lastRenderedPageBreak/>
        <w:t>(3) When an employee requests FMLA leave or the employer acquires knowledge that leave may be for a FMLA-qualifying reason, provide the employee with notice concerning his or her eligibility for FMLA leave and his or her rights and responsibilities under the FMLA; and</w:t>
      </w:r>
    </w:p>
    <w:p w:rsidR="00A44A0B" w:rsidRPr="00A44A0B" w:rsidRDefault="00A44A0B" w:rsidP="00A44A0B">
      <w:pPr>
        <w:numPr>
          <w:ilvl w:val="0"/>
          <w:numId w:val="4"/>
        </w:numPr>
        <w:spacing w:after="0" w:line="240" w:lineRule="auto"/>
        <w:ind w:left="63"/>
        <w:textAlignment w:val="top"/>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(4) Notify employees whether leave is designated as FMLA leave and the amount of leave that will be deducted from the employee’s FMLA entitlement.</w:t>
      </w:r>
    </w:p>
    <w:p w:rsidR="00A44A0B" w:rsidRPr="00A44A0B" w:rsidRDefault="00A44A0B" w:rsidP="00A44A0B">
      <w:pPr>
        <w:spacing w:after="300" w:line="240" w:lineRule="auto"/>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 </w:t>
      </w:r>
    </w:p>
    <w:p w:rsidR="00A44A0B" w:rsidRPr="00A44A0B" w:rsidRDefault="00A44A0B" w:rsidP="00A44A0B">
      <w:pPr>
        <w:spacing w:after="300" w:line="240" w:lineRule="auto"/>
        <w:rPr>
          <w:rFonts w:ascii="Times New Roman" w:eastAsia="Times New Roman" w:hAnsi="Times New Roman" w:cs="Times New Roman"/>
          <w:sz w:val="25"/>
          <w:szCs w:val="25"/>
        </w:rPr>
      </w:pPr>
      <w:r w:rsidRPr="00A44A0B">
        <w:rPr>
          <w:rFonts w:ascii="Times New Roman" w:eastAsia="Times New Roman" w:hAnsi="Times New Roman" w:cs="Times New Roman"/>
          <w:i/>
          <w:iCs/>
          <w:sz w:val="25"/>
          <w:szCs w:val="25"/>
        </w:rPr>
        <w:t>See</w:t>
      </w:r>
      <w:r w:rsidRPr="00A44A0B">
        <w:rPr>
          <w:rFonts w:ascii="Times New Roman" w:eastAsia="Times New Roman" w:hAnsi="Times New Roman" w:cs="Times New Roman"/>
          <w:sz w:val="25"/>
          <w:szCs w:val="25"/>
        </w:rPr>
        <w:t> </w:t>
      </w:r>
      <w:hyperlink r:id="rId10" w:history="1">
        <w:r w:rsidRPr="00A44A0B">
          <w:rPr>
            <w:rFonts w:ascii="Times New Roman" w:eastAsia="Times New Roman" w:hAnsi="Times New Roman" w:cs="Times New Roman"/>
            <w:color w:val="981B1E"/>
            <w:sz w:val="25"/>
            <w:szCs w:val="25"/>
            <w:u w:val="single"/>
          </w:rPr>
          <w:t>Fact Sheet 2</w:t>
        </w:r>
        <w:bookmarkStart w:id="1" w:name="_GoBack"/>
        <w:bookmarkEnd w:id="1"/>
        <w:r w:rsidRPr="00A44A0B">
          <w:rPr>
            <w:rFonts w:ascii="Times New Roman" w:eastAsia="Times New Roman" w:hAnsi="Times New Roman" w:cs="Times New Roman"/>
            <w:color w:val="981B1E"/>
            <w:sz w:val="25"/>
            <w:szCs w:val="25"/>
            <w:u w:val="single"/>
          </w:rPr>
          <w:t>8D</w:t>
        </w:r>
      </w:hyperlink>
      <w:r w:rsidRPr="00A44A0B">
        <w:rPr>
          <w:rFonts w:ascii="Times New Roman" w:eastAsia="Times New Roman" w:hAnsi="Times New Roman" w:cs="Times New Roman"/>
          <w:sz w:val="25"/>
          <w:szCs w:val="25"/>
        </w:rPr>
        <w:t>: Employer Notice Requirements under the FMLA.</w:t>
      </w:r>
    </w:p>
    <w:p w:rsidR="00A44A0B" w:rsidRPr="00A44A0B" w:rsidRDefault="00A44A0B" w:rsidP="00A44A0B">
      <w:pPr>
        <w:spacing w:after="300" w:line="240" w:lineRule="auto"/>
        <w:rPr>
          <w:rFonts w:ascii="Times New Roman" w:eastAsia="Times New Roman" w:hAnsi="Times New Roman" w:cs="Times New Roman"/>
          <w:sz w:val="25"/>
          <w:szCs w:val="25"/>
        </w:rPr>
      </w:pPr>
      <w:r w:rsidRPr="00A44A0B">
        <w:rPr>
          <w:rFonts w:ascii="Times New Roman" w:eastAsia="Times New Roman" w:hAnsi="Times New Roman" w:cs="Times New Roman"/>
          <w:b/>
          <w:bCs/>
          <w:sz w:val="25"/>
          <w:szCs w:val="25"/>
        </w:rPr>
        <w:t>CERTIFICATION</w:t>
      </w:r>
    </w:p>
    <w:p w:rsidR="00A44A0B" w:rsidRPr="00A44A0B" w:rsidRDefault="00A44A0B" w:rsidP="00A44A0B">
      <w:pPr>
        <w:spacing w:after="300" w:line="240" w:lineRule="auto"/>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When an employee requests FMLA leave due to his or her own serious health condition or a covered family member’s serious health condition, the employer may require certification in support of the leave from a health care provider. An employer may also require second or third medical opinions (at the employer’s expense) and periodic recertification of a serious health condition. </w:t>
      </w:r>
      <w:r w:rsidRPr="00A44A0B">
        <w:rPr>
          <w:rFonts w:ascii="Times New Roman" w:eastAsia="Times New Roman" w:hAnsi="Times New Roman" w:cs="Times New Roman"/>
          <w:i/>
          <w:iCs/>
          <w:sz w:val="25"/>
          <w:szCs w:val="25"/>
        </w:rPr>
        <w:t>See</w:t>
      </w:r>
      <w:r w:rsidRPr="00A44A0B">
        <w:rPr>
          <w:rFonts w:ascii="Times New Roman" w:eastAsia="Times New Roman" w:hAnsi="Times New Roman" w:cs="Times New Roman"/>
          <w:sz w:val="25"/>
          <w:szCs w:val="25"/>
        </w:rPr>
        <w:t> </w:t>
      </w:r>
      <w:hyperlink r:id="rId11" w:history="1">
        <w:r w:rsidRPr="00A44A0B">
          <w:rPr>
            <w:rFonts w:ascii="Times New Roman" w:eastAsia="Times New Roman" w:hAnsi="Times New Roman" w:cs="Times New Roman"/>
            <w:color w:val="981B1E"/>
            <w:sz w:val="25"/>
            <w:szCs w:val="25"/>
            <w:u w:val="single"/>
          </w:rPr>
          <w:t>Fact Sheet 28G</w:t>
        </w:r>
      </w:hyperlink>
      <w:r w:rsidRPr="00A44A0B">
        <w:rPr>
          <w:rFonts w:ascii="Times New Roman" w:eastAsia="Times New Roman" w:hAnsi="Times New Roman" w:cs="Times New Roman"/>
          <w:sz w:val="25"/>
          <w:szCs w:val="25"/>
        </w:rPr>
        <w:t>: Certification of a Serious Health Condition under the FMLA. For information on certification requirements for military family leave, </w:t>
      </w:r>
      <w:r w:rsidRPr="00A44A0B">
        <w:rPr>
          <w:rFonts w:ascii="Times New Roman" w:eastAsia="Times New Roman" w:hAnsi="Times New Roman" w:cs="Times New Roman"/>
          <w:i/>
          <w:iCs/>
          <w:sz w:val="25"/>
          <w:szCs w:val="25"/>
        </w:rPr>
        <w:t>See</w:t>
      </w:r>
      <w:r w:rsidRPr="00A44A0B">
        <w:rPr>
          <w:rFonts w:ascii="Times New Roman" w:eastAsia="Times New Roman" w:hAnsi="Times New Roman" w:cs="Times New Roman"/>
          <w:sz w:val="25"/>
          <w:szCs w:val="25"/>
        </w:rPr>
        <w:t> </w:t>
      </w:r>
      <w:hyperlink r:id="rId12" w:history="1">
        <w:r w:rsidRPr="00A44A0B">
          <w:rPr>
            <w:rFonts w:ascii="Times New Roman" w:eastAsia="Times New Roman" w:hAnsi="Times New Roman" w:cs="Times New Roman"/>
            <w:color w:val="981B1E"/>
            <w:sz w:val="25"/>
            <w:szCs w:val="25"/>
            <w:u w:val="single"/>
          </w:rPr>
          <w:t>Fact Sheet 28M(c)</w:t>
        </w:r>
      </w:hyperlink>
      <w:r w:rsidRPr="00A44A0B">
        <w:rPr>
          <w:rFonts w:ascii="Times New Roman" w:eastAsia="Times New Roman" w:hAnsi="Times New Roman" w:cs="Times New Roman"/>
          <w:sz w:val="25"/>
          <w:szCs w:val="25"/>
        </w:rPr>
        <w:t>: Qualifying Exigency Leave under the FMLA; </w:t>
      </w:r>
      <w:hyperlink r:id="rId13" w:history="1">
        <w:r w:rsidRPr="00A44A0B">
          <w:rPr>
            <w:rFonts w:ascii="Times New Roman" w:eastAsia="Times New Roman" w:hAnsi="Times New Roman" w:cs="Times New Roman"/>
            <w:color w:val="981B1E"/>
            <w:sz w:val="25"/>
            <w:szCs w:val="25"/>
            <w:u w:val="single"/>
          </w:rPr>
          <w:t>Fact Sheet 28M(a)</w:t>
        </w:r>
      </w:hyperlink>
      <w:r w:rsidRPr="00A44A0B">
        <w:rPr>
          <w:rFonts w:ascii="Times New Roman" w:eastAsia="Times New Roman" w:hAnsi="Times New Roman" w:cs="Times New Roman"/>
          <w:sz w:val="25"/>
          <w:szCs w:val="25"/>
        </w:rPr>
        <w:t xml:space="preserve">: Military Caregiver Leave for a Current </w:t>
      </w:r>
      <w:proofErr w:type="spellStart"/>
      <w:r w:rsidRPr="00A44A0B">
        <w:rPr>
          <w:rFonts w:ascii="Times New Roman" w:eastAsia="Times New Roman" w:hAnsi="Times New Roman" w:cs="Times New Roman"/>
          <w:sz w:val="25"/>
          <w:szCs w:val="25"/>
        </w:rPr>
        <w:t>Servicemember</w:t>
      </w:r>
      <w:proofErr w:type="spellEnd"/>
      <w:r w:rsidRPr="00A44A0B">
        <w:rPr>
          <w:rFonts w:ascii="Times New Roman" w:eastAsia="Times New Roman" w:hAnsi="Times New Roman" w:cs="Times New Roman"/>
          <w:sz w:val="25"/>
          <w:szCs w:val="25"/>
        </w:rPr>
        <w:t xml:space="preserve"> under the FMLA; and </w:t>
      </w:r>
      <w:hyperlink r:id="rId14" w:history="1">
        <w:r w:rsidRPr="00A44A0B">
          <w:rPr>
            <w:rFonts w:ascii="Times New Roman" w:eastAsia="Times New Roman" w:hAnsi="Times New Roman" w:cs="Times New Roman"/>
            <w:color w:val="981B1E"/>
            <w:sz w:val="25"/>
            <w:szCs w:val="25"/>
            <w:u w:val="single"/>
          </w:rPr>
          <w:t>Fact Sheet 28M(b)</w:t>
        </w:r>
      </w:hyperlink>
      <w:r w:rsidRPr="00A44A0B">
        <w:rPr>
          <w:rFonts w:ascii="Times New Roman" w:eastAsia="Times New Roman" w:hAnsi="Times New Roman" w:cs="Times New Roman"/>
          <w:sz w:val="25"/>
          <w:szCs w:val="25"/>
        </w:rPr>
        <w:t>: Military Caregiver Leave for a Veteran under the FMLA.</w:t>
      </w:r>
    </w:p>
    <w:p w:rsidR="00A44A0B" w:rsidRPr="00A44A0B" w:rsidRDefault="00A44A0B" w:rsidP="00A44A0B">
      <w:pPr>
        <w:spacing w:after="300" w:line="240" w:lineRule="auto"/>
        <w:rPr>
          <w:rFonts w:ascii="Times New Roman" w:eastAsia="Times New Roman" w:hAnsi="Times New Roman" w:cs="Times New Roman"/>
          <w:sz w:val="25"/>
          <w:szCs w:val="25"/>
        </w:rPr>
      </w:pPr>
      <w:r w:rsidRPr="00A44A0B">
        <w:rPr>
          <w:rFonts w:ascii="Times New Roman" w:eastAsia="Times New Roman" w:hAnsi="Times New Roman" w:cs="Times New Roman"/>
          <w:b/>
          <w:bCs/>
          <w:sz w:val="25"/>
          <w:szCs w:val="25"/>
        </w:rPr>
        <w:t>JOB RESTORATION AND HEALTH BENEFITS</w:t>
      </w:r>
    </w:p>
    <w:p w:rsidR="00A44A0B" w:rsidRPr="00A44A0B" w:rsidRDefault="00A44A0B" w:rsidP="00A44A0B">
      <w:pPr>
        <w:spacing w:after="300" w:line="240" w:lineRule="auto"/>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Upon return from FMLA leave, an employee must be restored to his or her original job or to an equivalent job with equivalent pay, benefits, and other terms and conditions of employment. An employee’s use of FMLA leave cannot be counted against the employee under a “no-fault” attendance policy. Employers are also required to continue group health insurance coverage for an employee on FMLA leave under the same terms and conditions as if the employee had not taken leave. </w:t>
      </w:r>
      <w:r w:rsidRPr="00A44A0B">
        <w:rPr>
          <w:rFonts w:ascii="Times New Roman" w:eastAsia="Times New Roman" w:hAnsi="Times New Roman" w:cs="Times New Roman"/>
          <w:i/>
          <w:iCs/>
          <w:sz w:val="25"/>
          <w:szCs w:val="25"/>
        </w:rPr>
        <w:t>See</w:t>
      </w:r>
      <w:r w:rsidRPr="00A44A0B">
        <w:rPr>
          <w:rFonts w:ascii="Times New Roman" w:eastAsia="Times New Roman" w:hAnsi="Times New Roman" w:cs="Times New Roman"/>
          <w:sz w:val="25"/>
          <w:szCs w:val="25"/>
        </w:rPr>
        <w:t> </w:t>
      </w:r>
      <w:hyperlink r:id="rId15" w:history="1">
        <w:r w:rsidRPr="00A44A0B">
          <w:rPr>
            <w:rFonts w:ascii="Times New Roman" w:eastAsia="Times New Roman" w:hAnsi="Times New Roman" w:cs="Times New Roman"/>
            <w:color w:val="981B1E"/>
            <w:sz w:val="25"/>
            <w:szCs w:val="25"/>
            <w:u w:val="single"/>
          </w:rPr>
          <w:t>Fact Sheet 28A</w:t>
        </w:r>
      </w:hyperlink>
      <w:r w:rsidRPr="00A44A0B">
        <w:rPr>
          <w:rFonts w:ascii="Times New Roman" w:eastAsia="Times New Roman" w:hAnsi="Times New Roman" w:cs="Times New Roman"/>
          <w:sz w:val="25"/>
          <w:szCs w:val="25"/>
        </w:rPr>
        <w:t>: Employee Protections under the Family and Medical Leave Act .</w:t>
      </w:r>
    </w:p>
    <w:p w:rsidR="00A44A0B" w:rsidRPr="00A44A0B" w:rsidRDefault="00A44A0B" w:rsidP="00A44A0B">
      <w:pPr>
        <w:spacing w:after="300" w:line="240" w:lineRule="auto"/>
        <w:rPr>
          <w:rFonts w:ascii="Times New Roman" w:eastAsia="Times New Roman" w:hAnsi="Times New Roman" w:cs="Times New Roman"/>
          <w:sz w:val="25"/>
          <w:szCs w:val="25"/>
        </w:rPr>
      </w:pPr>
      <w:r w:rsidRPr="00A44A0B">
        <w:rPr>
          <w:rFonts w:ascii="Times New Roman" w:eastAsia="Times New Roman" w:hAnsi="Times New Roman" w:cs="Times New Roman"/>
          <w:b/>
          <w:bCs/>
          <w:sz w:val="25"/>
          <w:szCs w:val="25"/>
        </w:rPr>
        <w:t>OTHER PROVISIONS</w:t>
      </w:r>
    </w:p>
    <w:p w:rsidR="00A44A0B" w:rsidRPr="00A44A0B" w:rsidRDefault="00A44A0B" w:rsidP="00A44A0B">
      <w:pPr>
        <w:spacing w:after="300" w:line="240" w:lineRule="auto"/>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Special rules apply to employees of local education agencies. Generally, these rules apply to intermittent or reduced schedule FMLA leave or the taking of FMLA leave near the end of a school term.</w:t>
      </w:r>
    </w:p>
    <w:p w:rsidR="00A44A0B" w:rsidRPr="00A44A0B" w:rsidRDefault="00A44A0B" w:rsidP="00A44A0B">
      <w:pPr>
        <w:spacing w:after="300" w:line="240" w:lineRule="auto"/>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Salaried executive, administrative, and professional employees of covered employers who meet the Fair Labor Standards Act (FLSA) criteria for exemption from minimum wage and overtime under the FLSA regulations, 29 CFR Part 541, do not lose their FLSA-exempt status by using any unpaid FMLA leave. This special exception to the “salary basis” requirements for FLSA’s exemption extends only to an eligible employee’s use of FMLA leave.</w:t>
      </w:r>
    </w:p>
    <w:p w:rsidR="00A44A0B" w:rsidRPr="00A44A0B" w:rsidRDefault="00A44A0B" w:rsidP="00A44A0B">
      <w:pPr>
        <w:spacing w:after="300" w:line="240" w:lineRule="auto"/>
        <w:rPr>
          <w:rFonts w:ascii="Times New Roman" w:eastAsia="Times New Roman" w:hAnsi="Times New Roman" w:cs="Times New Roman"/>
          <w:sz w:val="25"/>
          <w:szCs w:val="25"/>
        </w:rPr>
      </w:pPr>
      <w:r w:rsidRPr="00A44A0B">
        <w:rPr>
          <w:rFonts w:ascii="Times New Roman" w:eastAsia="Times New Roman" w:hAnsi="Times New Roman" w:cs="Times New Roman"/>
          <w:b/>
          <w:bCs/>
          <w:sz w:val="25"/>
          <w:szCs w:val="25"/>
        </w:rPr>
        <w:t>ENFORCEMENT</w:t>
      </w:r>
    </w:p>
    <w:p w:rsidR="00A44A0B" w:rsidRPr="00A44A0B" w:rsidRDefault="00A44A0B" w:rsidP="00A44A0B">
      <w:pPr>
        <w:spacing w:after="300" w:line="240" w:lineRule="auto"/>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It is unlawful for any employer to interfere with, restrain, or deny the exercise of or the attempt to exercise any right provided by the FMLA. It is also unlawful for an employer to discharge or discriminate against any individual for opposing any practice, or because of involvement in any proceeding, related to the FMLA. </w:t>
      </w:r>
      <w:r w:rsidRPr="00A44A0B">
        <w:rPr>
          <w:rFonts w:ascii="Times New Roman" w:eastAsia="Times New Roman" w:hAnsi="Times New Roman" w:cs="Times New Roman"/>
          <w:i/>
          <w:iCs/>
          <w:sz w:val="25"/>
          <w:szCs w:val="25"/>
        </w:rPr>
        <w:t>See</w:t>
      </w:r>
      <w:r w:rsidRPr="00A44A0B">
        <w:rPr>
          <w:rFonts w:ascii="Times New Roman" w:eastAsia="Times New Roman" w:hAnsi="Times New Roman" w:cs="Times New Roman"/>
          <w:sz w:val="25"/>
          <w:szCs w:val="25"/>
        </w:rPr>
        <w:t> </w:t>
      </w:r>
      <w:hyperlink r:id="rId16" w:history="1">
        <w:r w:rsidRPr="00A44A0B">
          <w:rPr>
            <w:rFonts w:ascii="Times New Roman" w:eastAsia="Times New Roman" w:hAnsi="Times New Roman" w:cs="Times New Roman"/>
            <w:color w:val="981B1E"/>
            <w:sz w:val="25"/>
            <w:szCs w:val="25"/>
            <w:u w:val="single"/>
          </w:rPr>
          <w:t>Fact Sheet 77B</w:t>
        </w:r>
      </w:hyperlink>
      <w:r w:rsidRPr="00A44A0B">
        <w:rPr>
          <w:rFonts w:ascii="Times New Roman" w:eastAsia="Times New Roman" w:hAnsi="Times New Roman" w:cs="Times New Roman"/>
          <w:sz w:val="25"/>
          <w:szCs w:val="25"/>
        </w:rPr>
        <w:t xml:space="preserve">: Protections for Individuals under the FMLA . The Wage and Hour Division is responsible for administering and enforcing the FMLA for most employees. Most federal and certain congressional employees are also covered by the law but are subject to the jurisdiction of the U.S. Office of Personnel Management or Congress. If you believe that your rights under the FMLA have been violated, </w:t>
      </w:r>
      <w:r w:rsidRPr="00A44A0B">
        <w:rPr>
          <w:rFonts w:ascii="Times New Roman" w:eastAsia="Times New Roman" w:hAnsi="Times New Roman" w:cs="Times New Roman"/>
          <w:sz w:val="25"/>
          <w:szCs w:val="25"/>
        </w:rPr>
        <w:lastRenderedPageBreak/>
        <w:t>you may file a complaint with the Wage and Hour Division or file a private lawsuit against your employer in court.</w:t>
      </w:r>
    </w:p>
    <w:p w:rsidR="00A44A0B" w:rsidRPr="00A44A0B" w:rsidRDefault="00A44A0B" w:rsidP="00A44A0B">
      <w:pPr>
        <w:spacing w:after="300" w:line="240" w:lineRule="auto"/>
        <w:rPr>
          <w:rFonts w:ascii="Times New Roman" w:eastAsia="Times New Roman" w:hAnsi="Times New Roman" w:cs="Times New Roman"/>
          <w:sz w:val="25"/>
          <w:szCs w:val="25"/>
        </w:rPr>
      </w:pPr>
      <w:r w:rsidRPr="00A44A0B">
        <w:rPr>
          <w:rFonts w:ascii="Times New Roman" w:eastAsia="Times New Roman" w:hAnsi="Times New Roman" w:cs="Times New Roman"/>
          <w:b/>
          <w:bCs/>
          <w:sz w:val="25"/>
          <w:szCs w:val="25"/>
        </w:rPr>
        <w:t>For additional information, visit our Wage and Hour Division Website: </w:t>
      </w:r>
      <w:hyperlink r:id="rId17" w:history="1">
        <w:r w:rsidRPr="00A44A0B">
          <w:rPr>
            <w:rFonts w:ascii="Times New Roman" w:eastAsia="Times New Roman" w:hAnsi="Times New Roman" w:cs="Times New Roman"/>
            <w:b/>
            <w:bCs/>
            <w:color w:val="981B1E"/>
            <w:sz w:val="25"/>
            <w:szCs w:val="25"/>
            <w:u w:val="single"/>
          </w:rPr>
          <w:t>http://www.wagehour.dol.gov</w:t>
        </w:r>
      </w:hyperlink>
      <w:r w:rsidRPr="00A44A0B">
        <w:rPr>
          <w:rFonts w:ascii="Times New Roman" w:eastAsia="Times New Roman" w:hAnsi="Times New Roman" w:cs="Times New Roman"/>
          <w:b/>
          <w:bCs/>
          <w:sz w:val="25"/>
          <w:szCs w:val="25"/>
        </w:rPr>
        <w:t> and /or call our toll-free information and helpline, available 8 a.m. to 5 p.m. in your time zone, 1-866-4-USWAGE (1-866-487-9243).</w:t>
      </w:r>
    </w:p>
    <w:p w:rsidR="00A44A0B" w:rsidRPr="00A44A0B" w:rsidRDefault="00A44A0B" w:rsidP="00A44A0B">
      <w:pPr>
        <w:spacing w:after="300" w:line="240" w:lineRule="auto"/>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This publication is for general information and is not to be considered in the same light as official statements of position contained in the regulations.</w:t>
      </w:r>
    </w:p>
    <w:p w:rsidR="00A44A0B" w:rsidRPr="00A44A0B" w:rsidRDefault="00A44A0B" w:rsidP="00A44A0B">
      <w:pPr>
        <w:spacing w:after="300" w:line="240" w:lineRule="auto"/>
        <w:rPr>
          <w:rFonts w:ascii="Times New Roman" w:eastAsia="Times New Roman" w:hAnsi="Times New Roman" w:cs="Times New Roman"/>
          <w:sz w:val="25"/>
          <w:szCs w:val="25"/>
        </w:rPr>
      </w:pPr>
      <w:r w:rsidRPr="00A44A0B">
        <w:rPr>
          <w:rFonts w:ascii="Times New Roman" w:eastAsia="Times New Roman" w:hAnsi="Times New Roman" w:cs="Times New Roman"/>
          <w:sz w:val="25"/>
          <w:szCs w:val="25"/>
        </w:rPr>
        <w:t>The contents of this document do not have the force and effect of law and are not meant to bind the public in any way. This document is intended only to provide clarity to the public regarding existing requirements under the law or agency policies.</w:t>
      </w:r>
    </w:p>
    <w:p w:rsidR="000A2575" w:rsidRDefault="00A44A0B">
      <w:r>
        <w:t xml:space="preserve">Source: </w:t>
      </w:r>
      <w:hyperlink r:id="rId18" w:history="1">
        <w:r>
          <w:rPr>
            <w:rStyle w:val="Hyperlink"/>
          </w:rPr>
          <w:t>https://www.dol.gov/agencies/whd/fact-sheets/28-fmla</w:t>
        </w:r>
      </w:hyperlink>
    </w:p>
    <w:p w:rsidR="00A44A0B" w:rsidRDefault="00A44A0B"/>
    <w:sectPr w:rsidR="00A44A0B" w:rsidSect="00A44A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D7C3A"/>
    <w:multiLevelType w:val="multilevel"/>
    <w:tmpl w:val="1CD4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FB561C"/>
    <w:multiLevelType w:val="multilevel"/>
    <w:tmpl w:val="96C4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DE6B1F"/>
    <w:multiLevelType w:val="multilevel"/>
    <w:tmpl w:val="9ED0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ED4B61"/>
    <w:multiLevelType w:val="multilevel"/>
    <w:tmpl w:val="FA70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0B"/>
    <w:rsid w:val="004217F0"/>
    <w:rsid w:val="007B2A60"/>
    <w:rsid w:val="00A44A0B"/>
    <w:rsid w:val="00E11623"/>
    <w:rsid w:val="00F54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1E1E"/>
  <w15:chartTrackingRefBased/>
  <w15:docId w15:val="{6E136705-92DA-4E27-864F-F7B96A6A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44A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A0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44A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4A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6729">
      <w:bodyDiv w:val="1"/>
      <w:marLeft w:val="0"/>
      <w:marRight w:val="0"/>
      <w:marTop w:val="0"/>
      <w:marBottom w:val="0"/>
      <w:divBdr>
        <w:top w:val="none" w:sz="0" w:space="0" w:color="auto"/>
        <w:left w:val="none" w:sz="0" w:space="0" w:color="auto"/>
        <w:bottom w:val="none" w:sz="0" w:space="0" w:color="auto"/>
        <w:right w:val="none" w:sz="0" w:space="0" w:color="auto"/>
      </w:divBdr>
      <w:divsChild>
        <w:div w:id="373583093">
          <w:marLeft w:val="0"/>
          <w:marRight w:val="0"/>
          <w:marTop w:val="0"/>
          <w:marBottom w:val="0"/>
          <w:divBdr>
            <w:top w:val="none" w:sz="0" w:space="0" w:color="auto"/>
            <w:left w:val="none" w:sz="0" w:space="0" w:color="auto"/>
            <w:bottom w:val="none" w:sz="0" w:space="0" w:color="auto"/>
            <w:right w:val="none" w:sz="0" w:space="0" w:color="auto"/>
          </w:divBdr>
          <w:divsChild>
            <w:div w:id="306321904">
              <w:marLeft w:val="0"/>
              <w:marRight w:val="0"/>
              <w:marTop w:val="0"/>
              <w:marBottom w:val="0"/>
              <w:divBdr>
                <w:top w:val="none" w:sz="0" w:space="0" w:color="auto"/>
                <w:left w:val="none" w:sz="0" w:space="0" w:color="auto"/>
                <w:bottom w:val="none" w:sz="0" w:space="0" w:color="auto"/>
                <w:right w:val="none" w:sz="0" w:space="0" w:color="auto"/>
              </w:divBdr>
              <w:divsChild>
                <w:div w:id="1499805850">
                  <w:marLeft w:val="0"/>
                  <w:marRight w:val="0"/>
                  <w:marTop w:val="0"/>
                  <w:marBottom w:val="0"/>
                  <w:divBdr>
                    <w:top w:val="none" w:sz="0" w:space="0" w:color="auto"/>
                    <w:left w:val="none" w:sz="0" w:space="0" w:color="auto"/>
                    <w:bottom w:val="none" w:sz="0" w:space="0" w:color="auto"/>
                    <w:right w:val="none" w:sz="0" w:space="0" w:color="auto"/>
                  </w:divBdr>
                  <w:divsChild>
                    <w:div w:id="758644768">
                      <w:marLeft w:val="0"/>
                      <w:marRight w:val="0"/>
                      <w:marTop w:val="0"/>
                      <w:marBottom w:val="0"/>
                      <w:divBdr>
                        <w:top w:val="none" w:sz="0" w:space="0" w:color="auto"/>
                        <w:left w:val="none" w:sz="0" w:space="0" w:color="auto"/>
                        <w:bottom w:val="none" w:sz="0" w:space="0" w:color="auto"/>
                        <w:right w:val="none" w:sz="0" w:space="0" w:color="auto"/>
                      </w:divBdr>
                      <w:divsChild>
                        <w:div w:id="1338264702">
                          <w:marLeft w:val="0"/>
                          <w:marRight w:val="0"/>
                          <w:marTop w:val="0"/>
                          <w:marBottom w:val="0"/>
                          <w:divBdr>
                            <w:top w:val="none" w:sz="0" w:space="0" w:color="auto"/>
                            <w:left w:val="none" w:sz="0" w:space="0" w:color="auto"/>
                            <w:bottom w:val="none" w:sz="0" w:space="0" w:color="auto"/>
                            <w:right w:val="none" w:sz="0" w:space="0" w:color="auto"/>
                          </w:divBdr>
                          <w:divsChild>
                            <w:div w:id="111365167">
                              <w:marLeft w:val="0"/>
                              <w:marRight w:val="0"/>
                              <w:marTop w:val="0"/>
                              <w:marBottom w:val="0"/>
                              <w:divBdr>
                                <w:top w:val="none" w:sz="0" w:space="0" w:color="auto"/>
                                <w:left w:val="none" w:sz="0" w:space="0" w:color="auto"/>
                                <w:bottom w:val="none" w:sz="0" w:space="0" w:color="auto"/>
                                <w:right w:val="none" w:sz="0" w:space="0" w:color="auto"/>
                              </w:divBdr>
                              <w:divsChild>
                                <w:div w:id="4896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1539">
          <w:marLeft w:val="0"/>
          <w:marRight w:val="0"/>
          <w:marTop w:val="0"/>
          <w:marBottom w:val="0"/>
          <w:divBdr>
            <w:top w:val="none" w:sz="0" w:space="0" w:color="auto"/>
            <w:left w:val="none" w:sz="0" w:space="0" w:color="auto"/>
            <w:bottom w:val="none" w:sz="0" w:space="0" w:color="auto"/>
            <w:right w:val="none" w:sz="0" w:space="0" w:color="auto"/>
          </w:divBdr>
          <w:divsChild>
            <w:div w:id="610288349">
              <w:marLeft w:val="0"/>
              <w:marRight w:val="0"/>
              <w:marTop w:val="0"/>
              <w:marBottom w:val="0"/>
              <w:divBdr>
                <w:top w:val="none" w:sz="0" w:space="0" w:color="auto"/>
                <w:left w:val="none" w:sz="0" w:space="0" w:color="auto"/>
                <w:bottom w:val="none" w:sz="0" w:space="0" w:color="auto"/>
                <w:right w:val="none" w:sz="0" w:space="0" w:color="auto"/>
              </w:divBdr>
              <w:divsChild>
                <w:div w:id="1195997156">
                  <w:marLeft w:val="0"/>
                  <w:marRight w:val="0"/>
                  <w:marTop w:val="0"/>
                  <w:marBottom w:val="0"/>
                  <w:divBdr>
                    <w:top w:val="none" w:sz="0" w:space="0" w:color="auto"/>
                    <w:left w:val="none" w:sz="0" w:space="0" w:color="auto"/>
                    <w:bottom w:val="none" w:sz="0" w:space="0" w:color="auto"/>
                    <w:right w:val="none" w:sz="0" w:space="0" w:color="auto"/>
                  </w:divBdr>
                  <w:divsChild>
                    <w:div w:id="794521266">
                      <w:marLeft w:val="0"/>
                      <w:marRight w:val="0"/>
                      <w:marTop w:val="0"/>
                      <w:marBottom w:val="0"/>
                      <w:divBdr>
                        <w:top w:val="none" w:sz="0" w:space="0" w:color="auto"/>
                        <w:left w:val="none" w:sz="0" w:space="0" w:color="auto"/>
                        <w:bottom w:val="none" w:sz="0" w:space="0" w:color="auto"/>
                        <w:right w:val="none" w:sz="0" w:space="0" w:color="auto"/>
                      </w:divBdr>
                      <w:divsChild>
                        <w:div w:id="606036039">
                          <w:marLeft w:val="0"/>
                          <w:marRight w:val="0"/>
                          <w:marTop w:val="0"/>
                          <w:marBottom w:val="0"/>
                          <w:divBdr>
                            <w:top w:val="none" w:sz="0" w:space="0" w:color="auto"/>
                            <w:left w:val="none" w:sz="0" w:space="0" w:color="auto"/>
                            <w:bottom w:val="none" w:sz="0" w:space="0" w:color="auto"/>
                            <w:right w:val="none" w:sz="0" w:space="0" w:color="auto"/>
                          </w:divBdr>
                          <w:divsChild>
                            <w:div w:id="1871911038">
                              <w:marLeft w:val="-225"/>
                              <w:marRight w:val="-225"/>
                              <w:marTop w:val="0"/>
                              <w:marBottom w:val="0"/>
                              <w:divBdr>
                                <w:top w:val="none" w:sz="0" w:space="0" w:color="auto"/>
                                <w:left w:val="none" w:sz="0" w:space="0" w:color="auto"/>
                                <w:bottom w:val="none" w:sz="0" w:space="0" w:color="auto"/>
                                <w:right w:val="none" w:sz="0" w:space="0" w:color="auto"/>
                              </w:divBdr>
                              <w:divsChild>
                                <w:div w:id="2073843771">
                                  <w:marLeft w:val="0"/>
                                  <w:marRight w:val="0"/>
                                  <w:marTop w:val="0"/>
                                  <w:marBottom w:val="0"/>
                                  <w:divBdr>
                                    <w:top w:val="none" w:sz="0" w:space="0" w:color="auto"/>
                                    <w:left w:val="none" w:sz="0" w:space="0" w:color="auto"/>
                                    <w:bottom w:val="none" w:sz="0" w:space="0" w:color="auto"/>
                                    <w:right w:val="none" w:sz="0" w:space="0" w:color="auto"/>
                                  </w:divBdr>
                                  <w:divsChild>
                                    <w:div w:id="1766219078">
                                      <w:marLeft w:val="0"/>
                                      <w:marRight w:val="0"/>
                                      <w:marTop w:val="0"/>
                                      <w:marBottom w:val="0"/>
                                      <w:divBdr>
                                        <w:top w:val="none" w:sz="0" w:space="0" w:color="auto"/>
                                        <w:left w:val="none" w:sz="0" w:space="0" w:color="auto"/>
                                        <w:bottom w:val="none" w:sz="0" w:space="0" w:color="auto"/>
                                        <w:right w:val="none" w:sz="0" w:space="0" w:color="auto"/>
                                      </w:divBdr>
                                      <w:divsChild>
                                        <w:div w:id="1797991386">
                                          <w:marLeft w:val="0"/>
                                          <w:marRight w:val="0"/>
                                          <w:marTop w:val="0"/>
                                          <w:marBottom w:val="0"/>
                                          <w:divBdr>
                                            <w:top w:val="none" w:sz="0" w:space="0" w:color="auto"/>
                                            <w:left w:val="none" w:sz="0" w:space="0" w:color="auto"/>
                                            <w:bottom w:val="none" w:sz="0" w:space="0" w:color="auto"/>
                                            <w:right w:val="none" w:sz="0" w:space="0" w:color="auto"/>
                                          </w:divBdr>
                                          <w:divsChild>
                                            <w:div w:id="637493544">
                                              <w:marLeft w:val="0"/>
                                              <w:marRight w:val="0"/>
                                              <w:marTop w:val="0"/>
                                              <w:marBottom w:val="0"/>
                                              <w:divBdr>
                                                <w:top w:val="none" w:sz="0" w:space="0" w:color="auto"/>
                                                <w:left w:val="none" w:sz="0" w:space="0" w:color="auto"/>
                                                <w:bottom w:val="none" w:sz="0" w:space="0" w:color="auto"/>
                                                <w:right w:val="none" w:sz="0" w:space="0" w:color="auto"/>
                                              </w:divBdr>
                                              <w:divsChild>
                                                <w:div w:id="2264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719405">
              <w:marLeft w:val="0"/>
              <w:marRight w:val="0"/>
              <w:marTop w:val="0"/>
              <w:marBottom w:val="0"/>
              <w:divBdr>
                <w:top w:val="none" w:sz="0" w:space="0" w:color="auto"/>
                <w:left w:val="none" w:sz="0" w:space="0" w:color="auto"/>
                <w:bottom w:val="none" w:sz="0" w:space="0" w:color="auto"/>
                <w:right w:val="none" w:sz="0" w:space="0" w:color="auto"/>
              </w:divBdr>
              <w:divsChild>
                <w:div w:id="2131584700">
                  <w:marLeft w:val="0"/>
                  <w:marRight w:val="0"/>
                  <w:marTop w:val="0"/>
                  <w:marBottom w:val="0"/>
                  <w:divBdr>
                    <w:top w:val="none" w:sz="0" w:space="0" w:color="auto"/>
                    <w:left w:val="none" w:sz="0" w:space="0" w:color="auto"/>
                    <w:bottom w:val="none" w:sz="0" w:space="0" w:color="auto"/>
                    <w:right w:val="none" w:sz="0" w:space="0" w:color="auto"/>
                  </w:divBdr>
                  <w:divsChild>
                    <w:div w:id="80801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agencies/whd/fact-sheets/28f-fmla-qualifying-reasons" TargetMode="External"/><Relationship Id="rId13" Type="http://schemas.openxmlformats.org/officeDocument/2006/relationships/hyperlink" Target="https://www.dol.gov/agencies/whd/fact-sheets/28ma-fmla-servicemember-caregiver" TargetMode="External"/><Relationship Id="rId18" Type="http://schemas.openxmlformats.org/officeDocument/2006/relationships/hyperlink" Target="https://www.dol.gov/agencies/whd/fact-sheets/28-fmla" TargetMode="External"/><Relationship Id="rId3" Type="http://schemas.openxmlformats.org/officeDocument/2006/relationships/settings" Target="settings.xml"/><Relationship Id="rId7" Type="http://schemas.openxmlformats.org/officeDocument/2006/relationships/hyperlink" Target="https://www.dol.gov/agencies/whd/fmla/userra" TargetMode="External"/><Relationship Id="rId12" Type="http://schemas.openxmlformats.org/officeDocument/2006/relationships/hyperlink" Target="https://www.dol.gov/agencies/whd/fact-sheets/28mc-fmla-exigency-leave" TargetMode="External"/><Relationship Id="rId17" Type="http://schemas.openxmlformats.org/officeDocument/2006/relationships/hyperlink" Target="http://www.wagehour.dol.gov/" TargetMode="External"/><Relationship Id="rId2" Type="http://schemas.openxmlformats.org/officeDocument/2006/relationships/styles" Target="styles.xml"/><Relationship Id="rId16" Type="http://schemas.openxmlformats.org/officeDocument/2006/relationships/hyperlink" Target="https://www.dol.gov/agencies/whd/fact-sheets/77b-fmla-protection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dol.gov/agencies/whd/fact-sheets/28j-fmla-airline-crew" TargetMode="External"/><Relationship Id="rId11" Type="http://schemas.openxmlformats.org/officeDocument/2006/relationships/hyperlink" Target="https://www.dol.gov/agencies/whd/fact-sheets/28g-fmla-serious-health-condition" TargetMode="External"/><Relationship Id="rId5" Type="http://schemas.openxmlformats.org/officeDocument/2006/relationships/hyperlink" Target="https://www.dol.gov/agencies/whd/fact-sheets/28-fmla" TargetMode="External"/><Relationship Id="rId15" Type="http://schemas.openxmlformats.org/officeDocument/2006/relationships/hyperlink" Target="https://www.dol.gov/agencies/whd/fact-sheets/28a-fmla-employee-protections" TargetMode="External"/><Relationship Id="rId10" Type="http://schemas.openxmlformats.org/officeDocument/2006/relationships/hyperlink" Target="https://www.dol.gov/agencies/whd/fact-sheets/28d-fmla-employer%20notifica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ol.gov/agencies/whd/fact-sheets/28m-fmla-military-family" TargetMode="External"/><Relationship Id="rId14" Type="http://schemas.openxmlformats.org/officeDocument/2006/relationships/hyperlink" Target="https://www.dol.gov/agencies/whd/fact-sheets/28mb-fmla-veteran-caregi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JoEllen Barton</dc:creator>
  <cp:keywords/>
  <dc:description/>
  <cp:lastModifiedBy>JoEllen Barton</cp:lastModifiedBy>
  <cp:revision>3</cp:revision>
  <dcterms:created xsi:type="dcterms:W3CDTF">2020-02-14T13:50:00Z</dcterms:created>
  <dcterms:modified xsi:type="dcterms:W3CDTF">2020-02-14T14:07:00Z</dcterms:modified>
</cp:coreProperties>
</file>